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Pr="00C65280" w:rsidRDefault="00C65280" w:rsidP="00C65280">
      <w:pPr>
        <w:tabs>
          <w:tab w:val="left" w:pos="660"/>
        </w:tabs>
      </w:pPr>
      <w:r w:rsidRPr="00C65280">
        <w:t>*/</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bookmarkStart w:id="0" w:name="_GoBack"/>
      <w:bookmarkEnd w:id="0"/>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FC4715" w:rsidRPr="00FC4715" w:rsidRDefault="00FC4715" w:rsidP="00FC4715">
      <w:pPr>
        <w:tabs>
          <w:tab w:val="left" w:pos="660"/>
        </w:tabs>
      </w:pPr>
      <w:r w:rsidRPr="00FC4715">
        <w:t>  */</w:t>
      </w:r>
    </w:p>
    <w:p w:rsidR="00A44646" w:rsidRPr="001D331C" w:rsidRDefault="00A44646" w:rsidP="006F335E">
      <w:pPr>
        <w:tabs>
          <w:tab w:val="left" w:pos="660"/>
        </w:tabs>
      </w:pP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1544D"/>
    <w:rsid w:val="00193665"/>
    <w:rsid w:val="001D0251"/>
    <w:rsid w:val="001D331C"/>
    <w:rsid w:val="001F16CF"/>
    <w:rsid w:val="001F22F2"/>
    <w:rsid w:val="00204074"/>
    <w:rsid w:val="00207905"/>
    <w:rsid w:val="00233F10"/>
    <w:rsid w:val="00264F92"/>
    <w:rsid w:val="00297FBA"/>
    <w:rsid w:val="002A1DA8"/>
    <w:rsid w:val="002B085E"/>
    <w:rsid w:val="002B53D1"/>
    <w:rsid w:val="002C7026"/>
    <w:rsid w:val="002D2455"/>
    <w:rsid w:val="0031079A"/>
    <w:rsid w:val="00326FC3"/>
    <w:rsid w:val="00351F51"/>
    <w:rsid w:val="00392DFC"/>
    <w:rsid w:val="0039307C"/>
    <w:rsid w:val="00427969"/>
    <w:rsid w:val="0044577E"/>
    <w:rsid w:val="00466467"/>
    <w:rsid w:val="00485873"/>
    <w:rsid w:val="004B545D"/>
    <w:rsid w:val="004C4369"/>
    <w:rsid w:val="004E40B7"/>
    <w:rsid w:val="004F540F"/>
    <w:rsid w:val="00502EC4"/>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A1375"/>
    <w:rsid w:val="008C3797"/>
    <w:rsid w:val="00922C16"/>
    <w:rsid w:val="00995AA9"/>
    <w:rsid w:val="00997233"/>
    <w:rsid w:val="009C78D9"/>
    <w:rsid w:val="009E7E01"/>
    <w:rsid w:val="00A07321"/>
    <w:rsid w:val="00A224C3"/>
    <w:rsid w:val="00A44646"/>
    <w:rsid w:val="00A76EB5"/>
    <w:rsid w:val="00A83810"/>
    <w:rsid w:val="00AB2644"/>
    <w:rsid w:val="00AC3DBE"/>
    <w:rsid w:val="00B207CE"/>
    <w:rsid w:val="00B27BC1"/>
    <w:rsid w:val="00BA50A2"/>
    <w:rsid w:val="00BC6AA4"/>
    <w:rsid w:val="00BD319B"/>
    <w:rsid w:val="00BD5A6E"/>
    <w:rsid w:val="00BD6468"/>
    <w:rsid w:val="00C616E1"/>
    <w:rsid w:val="00C65280"/>
    <w:rsid w:val="00C677D6"/>
    <w:rsid w:val="00C701C8"/>
    <w:rsid w:val="00C7594D"/>
    <w:rsid w:val="00CE0DE5"/>
    <w:rsid w:val="00D06B6A"/>
    <w:rsid w:val="00D119B2"/>
    <w:rsid w:val="00D1710A"/>
    <w:rsid w:val="00D260A6"/>
    <w:rsid w:val="00D410CD"/>
    <w:rsid w:val="00D53EF1"/>
    <w:rsid w:val="00D60FF8"/>
    <w:rsid w:val="00DA12CE"/>
    <w:rsid w:val="00E33C01"/>
    <w:rsid w:val="00E53CC5"/>
    <w:rsid w:val="00EA2347"/>
    <w:rsid w:val="00EA331C"/>
    <w:rsid w:val="00EC7C70"/>
    <w:rsid w:val="00ED2377"/>
    <w:rsid w:val="00EE4938"/>
    <w:rsid w:val="00EF570C"/>
    <w:rsid w:val="00F0596B"/>
    <w:rsid w:val="00F17940"/>
    <w:rsid w:val="00F26873"/>
    <w:rsid w:val="00F335A5"/>
    <w:rsid w:val="00F974A7"/>
    <w:rsid w:val="00FA33B0"/>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21216</TotalTime>
  <Pages>81</Pages>
  <Words>21272</Words>
  <Characters>116996</Characters>
  <Application>Microsoft Office Word</Application>
  <DocSecurity>0</DocSecurity>
  <Lines>974</Lines>
  <Paragraphs>275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87</cp:revision>
  <cp:lastPrinted>2024-06-24T19:10:00Z</cp:lastPrinted>
  <dcterms:created xsi:type="dcterms:W3CDTF">2024-06-02T21:29:00Z</dcterms:created>
  <dcterms:modified xsi:type="dcterms:W3CDTF">2024-07-11T18:25:00Z</dcterms:modified>
</cp:coreProperties>
</file>