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E629E2"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bookmarkStart w:id="0" w:name="_GoBack"/>
      <w:bookmarkEnd w:id="0"/>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Pr="00E629E2" w:rsidRDefault="00E629E2" w:rsidP="00E629E2">
      <w:pPr>
        <w:tabs>
          <w:tab w:val="left" w:pos="660"/>
        </w:tabs>
      </w:pPr>
      <w:r w:rsidRPr="00E629E2">
        <w:t>*/</w:t>
      </w:r>
    </w:p>
    <w:p w:rsidR="007F7AD7" w:rsidRPr="002D68BA" w:rsidRDefault="007F7AD7" w:rsidP="00AF4361">
      <w:pPr>
        <w:tabs>
          <w:tab w:val="left" w:pos="660"/>
        </w:tabs>
      </w:pPr>
    </w:p>
    <w:p w:rsidR="00B82C03" w:rsidRPr="002D68BA" w:rsidRDefault="00B82C03" w:rsidP="00AF4361">
      <w:pPr>
        <w:tabs>
          <w:tab w:val="left" w:pos="660"/>
        </w:tabs>
      </w:pPr>
    </w:p>
    <w:p w:rsidR="00B82C03" w:rsidRPr="002D68BA" w:rsidRDefault="00B82C03"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E629E2"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C5BA0"/>
    <w:rsid w:val="000E5255"/>
    <w:rsid w:val="0011544D"/>
    <w:rsid w:val="00126FF9"/>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783B3E"/>
    <w:rsid w:val="007F7AD7"/>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91D27"/>
    <w:rsid w:val="00BA50A2"/>
    <w:rsid w:val="00BC6AA4"/>
    <w:rsid w:val="00BD319B"/>
    <w:rsid w:val="00BD5A6E"/>
    <w:rsid w:val="00BD6468"/>
    <w:rsid w:val="00BF3DD9"/>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629E2"/>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A630"/>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25067</TotalTime>
  <Pages>90</Pages>
  <Words>23700</Words>
  <Characters>130350</Characters>
  <Application>Microsoft Office Word</Application>
  <DocSecurity>0</DocSecurity>
  <Lines>1086</Lines>
  <Paragraphs>307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106</cp:revision>
  <cp:lastPrinted>2024-06-24T19:10:00Z</cp:lastPrinted>
  <dcterms:created xsi:type="dcterms:W3CDTF">2024-06-02T21:29:00Z</dcterms:created>
  <dcterms:modified xsi:type="dcterms:W3CDTF">2024-07-17T19:01:00Z</dcterms:modified>
</cp:coreProperties>
</file>