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w:t>
      </w:r>
      <w:r>
        <w:t xml:space="preserve">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w:t>
      </w:r>
      <w:r>
        <w:t xml:space="preserve">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w:t>
      </w:r>
      <w:r>
        <w:t xml:space="preserve">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w:t>
      </w:r>
      <w:r>
        <w:t xml:space="preserve">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w:t>
      </w:r>
      <w:r>
        <w:t xml:space="preserve">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w:t>
      </w:r>
      <w:r>
        <w:t xml:space="preserve">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w:t>
      </w:r>
      <w:r>
        <w:t xml:space="preserve">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w:t>
      </w:r>
      <w:r>
        <w:t xml:space="preserve">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w:t>
      </w:r>
      <w:r>
        <w:t xml:space="preserve">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w:t>
      </w:r>
      <w:r>
        <w:t xml:space="preserve">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w:t>
      </w:r>
      <w:r>
        <w:t xml:space="preserve">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w:t>
      </w:r>
      <w:r>
        <w:t xml:space="preserve">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w:t>
      </w:r>
      <w:r>
        <w:t xml:space="preserve">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w:t>
      </w:r>
      <w:r>
        <w:t xml:space="preserve">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w:t>
      </w:r>
      <w:r>
        <w:t xml:space="preserve">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w:t>
      </w:r>
      <w:r>
        <w:t xml:space="preserve">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w:t>
      </w:r>
      <w:r>
        <w:t xml:space="preserve">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w:t>
      </w:r>
      <w:r>
        <w:t xml:space="preserve">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w:t>
      </w:r>
      <w:r>
        <w:t xml:space="preserve">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w:t>
      </w:r>
      <w:r>
        <w:t xml:space="preserve">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w:t>
      </w:r>
      <w:r>
        <w:t xml:space="preserve">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w:t>
      </w:r>
      <w:r>
        <w:t xml:space="preserve">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w:t>
      </w:r>
      <w:r>
        <w:t xml:space="preserve">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w:t>
      </w:r>
      <w:r>
        <w:t xml:space="preserve">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w:t>
      </w:r>
      <w:r>
        <w:t xml:space="preserve">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w:t>
      </w:r>
      <w:r>
        <w:t xml:space="preserve">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w:t>
      </w:r>
      <w:r>
        <w:t xml:space="preserve">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w:t>
      </w:r>
      <w:r>
        <w:t xml:space="preserve">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w:t>
      </w:r>
      <w:r>
        <w:t xml:space="preserve">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Default="001F16CF" w:rsidP="001F16CF">
      <w:pPr>
        <w:tabs>
          <w:tab w:val="left" w:pos="660"/>
        </w:tabs>
        <w:rPr>
          <w:lang w:val="en-US"/>
        </w:rPr>
      </w:pPr>
      <w:r w:rsidRPr="001F16CF">
        <w:rPr>
          <w:lang w:val="en-US"/>
        </w:rPr>
        <w:t>*/</w:t>
      </w:r>
    </w:p>
    <w:p w:rsidR="008C3797" w:rsidRPr="001F16CF" w:rsidRDefault="008C3797" w:rsidP="001F16CF">
      <w:pPr>
        <w:tabs>
          <w:tab w:val="left" w:pos="660"/>
        </w:tabs>
        <w:rPr>
          <w:lang w:val="en-US"/>
        </w:rPr>
      </w:pPr>
      <w:r>
        <w:t>TEMA</w:t>
      </w:r>
      <w:r>
        <w:t xml:space="preserve"> 54</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w:t>
      </w:r>
      <w:r>
        <w:t xml:space="preserve">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w:t>
      </w:r>
      <w:r>
        <w:t xml:space="preserve">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Default="00E33C01" w:rsidP="00E33C01">
      <w:pPr>
        <w:tabs>
          <w:tab w:val="left" w:pos="660"/>
        </w:tabs>
      </w:pPr>
      <w:proofErr w:type="gramStart"/>
      <w:r>
        <w:t>&lt;!--</w:t>
      </w:r>
      <w:proofErr w:type="gramEnd"/>
      <w: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w:t>
      </w:r>
      <w:r>
        <w:t xml:space="preserve">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w:t>
      </w:r>
      <w:r>
        <w:t xml:space="preserve">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w:t>
      </w:r>
      <w:r>
        <w:t xml:space="preserve">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w:t>
      </w:r>
      <w:r>
        <w:t xml:space="preserve">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w:t>
      </w:r>
      <w:r>
        <w:t xml:space="preserve">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Default="00D06B6A" w:rsidP="00D06B6A">
      <w:pPr>
        <w:tabs>
          <w:tab w:val="left" w:pos="660"/>
        </w:tabs>
      </w:pPr>
      <w:r w:rsidRPr="00D06B6A">
        <w:t>*/</w:t>
      </w:r>
    </w:p>
    <w:p w:rsidR="008C3797" w:rsidRPr="00D06B6A" w:rsidRDefault="008C3797" w:rsidP="00D06B6A">
      <w:pPr>
        <w:tabs>
          <w:tab w:val="left" w:pos="660"/>
        </w:tabs>
      </w:pPr>
      <w:r>
        <w:t>TEMA</w:t>
      </w:r>
      <w:r>
        <w:t xml:space="preserve"> 62</w:t>
      </w:r>
    </w:p>
    <w:p w:rsidR="0039307C" w:rsidRPr="0039307C" w:rsidRDefault="0039307C" w:rsidP="0039307C">
      <w:pPr>
        <w:tabs>
          <w:tab w:val="left" w:pos="660"/>
        </w:tabs>
      </w:pPr>
      <w:r w:rsidRPr="0039307C">
        <w:t>/*</w:t>
      </w:r>
    </w:p>
    <w:p w:rsidR="0039307C" w:rsidRPr="0039307C" w:rsidRDefault="0039307C" w:rsidP="0039307C">
      <w:pPr>
        <w:tabs>
          <w:tab w:val="left" w:pos="660"/>
        </w:tabs>
      </w:pPr>
      <w:r w:rsidRPr="0039307C">
        <w:t>  FLEX BASIS, SHRINK Y GROW</w:t>
      </w:r>
    </w:p>
    <w:p w:rsidR="0039307C" w:rsidRPr="0039307C" w:rsidRDefault="0039307C" w:rsidP="0039307C">
      <w:pPr>
        <w:tabs>
          <w:tab w:val="left" w:pos="660"/>
        </w:tabs>
      </w:pPr>
      <w:r w:rsidRPr="0039307C">
        <w:t>  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w:t>
      </w:r>
      <w:r>
        <w:t xml:space="preserve">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w:t>
      </w:r>
      <w:r>
        <w:t xml:space="preserve">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Pr="00653955" w:rsidRDefault="008C3797" w:rsidP="00653955">
      <w:pPr>
        <w:tabs>
          <w:tab w:val="left" w:pos="660"/>
        </w:tabs>
      </w:pPr>
      <w:r>
        <w:t>TEMA</w:t>
      </w:r>
      <w:r>
        <w:t xml:space="preserve"> 65</w:t>
      </w:r>
      <w:bookmarkStart w:id="0" w:name="_GoBack"/>
      <w:bookmarkEnd w:id="0"/>
    </w:p>
    <w:p w:rsidR="00ED2377" w:rsidRDefault="00ED2377"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D06B6A" w:rsidRDefault="00D06B6A" w:rsidP="006F335E">
      <w:pPr>
        <w:tabs>
          <w:tab w:val="left" w:pos="660"/>
        </w:tabs>
        <w:rPr>
          <w:lang w:val="en-US"/>
        </w:rPr>
      </w:pPr>
    </w:p>
    <w:p w:rsidR="0084629D" w:rsidRDefault="0084629D" w:rsidP="006F335E">
      <w:pPr>
        <w:tabs>
          <w:tab w:val="left" w:pos="660"/>
        </w:tabs>
        <w:rPr>
          <w:lang w:val="en-US"/>
        </w:rPr>
      </w:pPr>
    </w:p>
    <w:p w:rsidR="0084629D" w:rsidRDefault="0084629D" w:rsidP="006F335E">
      <w:pPr>
        <w:tabs>
          <w:tab w:val="left" w:pos="660"/>
        </w:tabs>
        <w:rPr>
          <w:lang w:val="en-US"/>
        </w:rPr>
      </w:pPr>
    </w:p>
    <w:p w:rsidR="0084629D" w:rsidRPr="00E33C01" w:rsidRDefault="0084629D"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64F92"/>
    <w:rsid w:val="00297FBA"/>
    <w:rsid w:val="002A1DA8"/>
    <w:rsid w:val="002C7026"/>
    <w:rsid w:val="0031079A"/>
    <w:rsid w:val="00392DFC"/>
    <w:rsid w:val="0039307C"/>
    <w:rsid w:val="00427969"/>
    <w:rsid w:val="0044577E"/>
    <w:rsid w:val="00485873"/>
    <w:rsid w:val="004B545D"/>
    <w:rsid w:val="004C4369"/>
    <w:rsid w:val="004E40B7"/>
    <w:rsid w:val="004F540F"/>
    <w:rsid w:val="00502EC4"/>
    <w:rsid w:val="006013E2"/>
    <w:rsid w:val="006056CF"/>
    <w:rsid w:val="0063423D"/>
    <w:rsid w:val="00653955"/>
    <w:rsid w:val="006719B7"/>
    <w:rsid w:val="0068300E"/>
    <w:rsid w:val="006868B6"/>
    <w:rsid w:val="006A2A72"/>
    <w:rsid w:val="006A630B"/>
    <w:rsid w:val="006A79EC"/>
    <w:rsid w:val="006C69F2"/>
    <w:rsid w:val="006E752A"/>
    <w:rsid w:val="006F335E"/>
    <w:rsid w:val="007103A9"/>
    <w:rsid w:val="0074158C"/>
    <w:rsid w:val="00752135"/>
    <w:rsid w:val="0076561B"/>
    <w:rsid w:val="00766BC2"/>
    <w:rsid w:val="00781AA9"/>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14983</TotalTime>
  <Pages>64</Pages>
  <Words>16826</Words>
  <Characters>92549</Characters>
  <Application>Microsoft Office Word</Application>
  <DocSecurity>0</DocSecurity>
  <Lines>771</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62</cp:revision>
  <dcterms:created xsi:type="dcterms:W3CDTF">2024-06-02T21:29:00Z</dcterms:created>
  <dcterms:modified xsi:type="dcterms:W3CDTF">2024-06-21T19:53:00Z</dcterms:modified>
</cp:coreProperties>
</file>