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8"/>
              </w:rPr>
              <w:t>25/09/2026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8"/>
              </w:rPr>
              <w:t>SWTID-2026-2701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8"/>
              </w:rP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2"/>
      </w:pPr>
      <w:r>
        <w:rPr/>
        <w:t>Data Flow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>
        <w:trPr>
          <w:trHeight w:val="479" w:hRule="atLeast"/>
        </w:trPr>
        <w:tc>
          <w:tcPr>
            <w:tcW w:w="2480" w:type="dxa"/>
            <w:shd w:val="clear" w:color="auto" w:fill="D5E7F0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1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71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9" w:hRule="atLeast"/>
        </w:trPr>
        <w:tc>
          <w:tcPr>
            <w:tcW w:w="2480" w:type="dxa"/>
          </w:tcPr>
          <w:p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88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Heading2"/>
        <w:spacing w:before="1"/>
      </w:pPr>
      <w:bookmarkStart w:name="Example " w:id="3"/>
      <w:bookmarkEnd w:id="3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line="276" w:lineRule="auto" w:before="141"/>
        <w:ind w:right="414"/>
      </w:pPr>
      <w:r>
        <w:rPr/>
        <w:t>The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symbols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data flow diagram.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0" w:footer="0" w:top="1820" w:bottom="280" w:left="1440" w:right="144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963" cy="2209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jc w:val="center"/>
      </w:pPr>
      <w:r>
        <w:rPr>
          <w:b/>
          <w:sz w:val="24"/>
        </w:rPr>
        <w:t>Completed EduGenie DFD</w:t>
      </w:r>
    </w:p>
    <w:p>
      <w:pPr>
        <w:jc w:val="center"/>
      </w:pPr>
      <w:r>
        <w:drawing>
          <wp:inline>
            <wp:extent cx="6035040" cy="36590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5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Data flow summary: </w:t>
      </w:r>
      <w:r>
        <w:t>The learner submits a question, topic or passage. FastAPI validates and routes it to the selected AI module. Gemini handles Q&amp;A, quizzes, summaries and learning recommendations, while the local LaMini-Flan-T5 model can handle concept explanations. The formatted result is returned to the learner.</w:t>
      </w:r>
    </w:p>
    <w:sectPr>
      <w:pgSz w:w="12240" w:h="15840"/>
      <w:pgMar w:header="0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2026-09-28T16:03:52Z</dcterms:created>
  <dcterms:modified xsi:type="dcterms:W3CDTF">2026-09-28T16:03:52Z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