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Initialization and Planning Phas" w:id="1"/>
      <w:bookmarkEnd w:id="1"/>
      <w:r>
        <w:rPr>
          <w:b w:val="0"/>
        </w:rPr>
      </w:r>
      <w:r>
        <w:rPr/>
        <w:t>Project</w:t>
      </w:r>
      <w:r>
        <w:rPr>
          <w:spacing w:val="-12"/>
        </w:rPr>
        <w:t> </w:t>
      </w:r>
      <w:r>
        <w:rPr/>
        <w:t>Initialization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Phase</w:t>
      </w: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99" w:hRule="atLeast"/>
        </w:trPr>
        <w:tc>
          <w:tcPr>
            <w:tcW w:w="4680" w:type="dxa"/>
          </w:tcPr>
          <w:p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  <w:vAlign w:val="center"/>
          </w:tcPr>
          <w:p>
            <w:r>
              <w:rPr>
                <w:b w:val="0"/>
                <w:sz w:val="17"/>
              </w:rPr>
              <w:t>25/09/2026</w:t>
            </w:r>
          </w:p>
        </w:tc>
      </w:tr>
      <w:tr>
        <w:trPr>
          <w:trHeight w:val="460" w:hRule="atLeast"/>
        </w:trPr>
        <w:tc>
          <w:tcPr>
            <w:tcW w:w="46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  <w:vAlign w:val="center"/>
          </w:tcPr>
          <w:p>
            <w:r>
              <w:rPr>
                <w:b w:val="0"/>
                <w:sz w:val="17"/>
              </w:rPr>
              <w:t>SWTID-2026-2701</w:t>
            </w:r>
          </w:p>
        </w:tc>
      </w:tr>
      <w:tr>
        <w:trPr>
          <w:trHeight w:val="719" w:hRule="atLeast"/>
        </w:trPr>
        <w:tc>
          <w:tcPr>
            <w:tcW w:w="4680" w:type="dx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  <w:vAlign w:val="center"/>
          </w:tcPr>
          <w:p>
            <w:r>
              <w:rPr>
                <w:b w:val="0"/>
                <w:sz w:val="17"/>
              </w:rPr>
              <w:t>EduGenie: Google Gemini powered learning assistant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04"/>
        <w:rPr>
          <w:b/>
          <w:sz w:val="28"/>
        </w:rPr>
      </w:pPr>
    </w:p>
    <w:p>
      <w:pPr>
        <w:pStyle w:val="Heading2"/>
        <w:spacing w:before="1"/>
      </w:pPr>
      <w:bookmarkStart w:name="Project Proposal (Proposed Solution) rep" w:id="2"/>
      <w:bookmarkEnd w:id="2"/>
      <w:r>
        <w:rPr>
          <w:b w:val="0"/>
        </w:rPr>
      </w:r>
      <w:r>
        <w:rPr/>
        <w:t>Project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(Proposed</w:t>
      </w:r>
      <w:r>
        <w:rPr>
          <w:spacing w:val="-4"/>
        </w:rPr>
        <w:t> </w:t>
      </w:r>
      <w:r>
        <w:rPr/>
        <w:t>Solution)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spacing w:line="259" w:lineRule="auto" w:before="182"/>
        <w:ind w:right="438"/>
      </w:pPr>
      <w:r>
        <w:rPr/>
        <w:t>The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aims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transform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approval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learning,</w:t>
      </w:r>
      <w:r>
        <w:rPr>
          <w:spacing w:val="-4"/>
        </w:rPr>
        <w:t> </w:t>
      </w:r>
      <w:r>
        <w:rPr/>
        <w:t>boosting</w:t>
      </w:r>
      <w:r>
        <w:rPr>
          <w:spacing w:val="-4"/>
        </w:rPr>
        <w:t> </w:t>
      </w:r>
      <w:r>
        <w:rPr/>
        <w:t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>
      <w:pPr>
        <w:pStyle w:val="BodyText"/>
        <w:spacing w:before="10" w:after="1"/>
        <w:rPr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480" w:hRule="atLeast"/>
        </w:trPr>
        <w:tc>
          <w:tcPr>
            <w:tcW w:w="9360" w:type="dxa"/>
            <w:gridSpan w:val="2"/>
            <w:vAlign w:val="center"/>
          </w:tcPr>
          <w:p>
            <w:r>
              <w:rPr>
                <w:b w:val="0"/>
                <w:sz w:val="16"/>
              </w:rPr>
              <w:t>Project Overview</w:t>
            </w:r>
          </w:p>
        </w:tc>
      </w:tr>
      <w:tr>
        <w:trPr>
          <w:trHeight w:val="1020" w:hRule="atLeast"/>
        </w:trPr>
        <w:tc>
          <w:tcPr>
            <w:tcW w:w="2400" w:type="dxa"/>
            <w:vAlign w:val="center"/>
          </w:tcPr>
          <w:p>
            <w:r>
              <w:rPr>
                <w:b w:val="0"/>
                <w:sz w:val="17"/>
              </w:rPr>
              <w:t>Objective</w:t>
            </w:r>
          </w:p>
        </w:tc>
        <w:tc>
          <w:tcPr>
            <w:tcW w:w="6960" w:type="dxa"/>
            <w:vAlign w:val="center"/>
          </w:tcPr>
          <w:p>
            <w:r>
              <w:rPr>
                <w:b w:val="0"/>
                <w:sz w:val="16"/>
              </w:rPr>
              <w:t>The primary objective is to provide students with a lightweight AI-powered learning assistant that gives quick answers, simplifies difficult concepts, generates quizzes, summarizes study material, and provides personalized learning recommendations.</w:t>
            </w:r>
          </w:p>
        </w:tc>
      </w:tr>
      <w:tr>
        <w:trPr>
          <w:trHeight w:val="1000" w:hRule="atLeast"/>
        </w:trPr>
        <w:tc>
          <w:tcPr>
            <w:tcW w:w="2400" w:type="dxa"/>
            <w:vAlign w:val="center"/>
          </w:tcPr>
          <w:p>
            <w:r>
              <w:rPr>
                <w:b w:val="0"/>
                <w:sz w:val="17"/>
              </w:rPr>
              <w:t>Scope</w:t>
            </w:r>
          </w:p>
        </w:tc>
        <w:tc>
          <w:tcPr>
            <w:tcW w:w="6960" w:type="dxa"/>
            <w:vAlign w:val="center"/>
          </w:tcPr>
          <w:p>
            <w:r>
              <w:rPr>
                <w:b w:val="0"/>
                <w:sz w:val="16"/>
              </w:rPr>
              <w:t>The project covers a simple web interface connected to FastAPI backend modules for Q&amp;A, concept explanation, quiz generation, summarization and learning-path recommendations.</w:t>
            </w:r>
          </w:p>
        </w:tc>
      </w:tr>
      <w:tr>
        <w:trPr>
          <w:trHeight w:val="479" w:hRule="atLeast"/>
        </w:trPr>
        <w:tc>
          <w:tcPr>
            <w:tcW w:w="9360" w:type="dxa"/>
            <w:gridSpan w:val="2"/>
            <w:vAlign w:val="center"/>
          </w:tcPr>
          <w:p>
            <w:r>
              <w:rPr>
                <w:b w:val="0"/>
                <w:sz w:val="16"/>
              </w:rPr>
              <w:t>Problem Statement</w:t>
            </w:r>
          </w:p>
        </w:tc>
      </w:tr>
      <w:tr>
        <w:trPr>
          <w:trHeight w:val="1039" w:hRule="atLeast"/>
        </w:trPr>
        <w:tc>
          <w:tcPr>
            <w:tcW w:w="2400" w:type="dxa"/>
            <w:vAlign w:val="center"/>
          </w:tcPr>
          <w:p>
            <w:r>
              <w:rPr>
                <w:b w:val="0"/>
                <w:sz w:val="17"/>
              </w:rPr>
              <w:t>Description</w:t>
            </w:r>
          </w:p>
        </w:tc>
        <w:tc>
          <w:tcPr>
            <w:tcW w:w="6960" w:type="dxa"/>
            <w:vAlign w:val="center"/>
          </w:tcPr>
          <w:p>
            <w:r>
              <w:rPr>
                <w:b w:val="0"/>
                <w:sz w:val="16"/>
              </w:rPr>
              <w:t>Students often spend time searching across multiple resources, understanding lengthy explanations, preparing practice questions, and deciding what to learn next. Complex academic content can be difficult to understand quickly.</w:t>
            </w:r>
          </w:p>
        </w:tc>
      </w:tr>
      <w:tr>
        <w:trPr>
          <w:trHeight w:val="1000" w:hRule="atLeast"/>
        </w:trPr>
        <w:tc>
          <w:tcPr>
            <w:tcW w:w="2400" w:type="dxa"/>
            <w:vAlign w:val="center"/>
          </w:tcPr>
          <w:p>
            <w:r>
              <w:rPr>
                <w:b w:val="0"/>
                <w:sz w:val="17"/>
              </w:rPr>
              <w:t>Impact</w:t>
            </w:r>
          </w:p>
        </w:tc>
        <w:tc>
          <w:tcPr>
            <w:tcW w:w="6960" w:type="dxa"/>
            <w:vAlign w:val="center"/>
          </w:tcPr>
          <w:p>
            <w:r>
              <w:rPr>
                <w:b w:val="0"/>
                <w:sz w:val="16"/>
              </w:rPr>
              <w:t>Addressing these issues can make learning more accessible, reduce revision effort, support self-assessment, and provide structured guidance for learners.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2"/>
            <w:vAlign w:val="center"/>
          </w:tcPr>
          <w:p>
            <w:r>
              <w:rPr>
                <w:b w:val="0"/>
                <w:sz w:val="16"/>
              </w:rPr>
              <w:t>Proposed Solution</w:t>
            </w:r>
          </w:p>
        </w:tc>
      </w:tr>
      <w:tr>
        <w:trPr>
          <w:trHeight w:val="1040" w:hRule="atLeast"/>
        </w:trPr>
        <w:tc>
          <w:tcPr>
            <w:tcW w:w="2400" w:type="dxa"/>
            <w:vAlign w:val="center"/>
          </w:tcPr>
          <w:p>
            <w:r>
              <w:rPr>
                <w:b/>
                <w:sz w:val="17"/>
              </w:rPr>
              <w:t>Approach</w:t>
            </w:r>
          </w:p>
        </w:tc>
        <w:tc>
          <w:tcPr>
            <w:tcW w:w="6960" w:type="dxa"/>
            <w:vAlign w:val="center"/>
          </w:tcPr>
          <w:p>
            <w:r>
              <w:rPr>
                <w:b w:val="0"/>
                <w:sz w:val="16"/>
              </w:rPr>
              <w:t>EduGenie routes the learner's request to the appropriate AI module. Google Gemini is used for Q&amp;A, quiz generation, summarization and learning recommendations, while a lightweight LaMini-Flan-T5 model is used for concept explanation.</w:t>
            </w:r>
          </w:p>
        </w:tc>
      </w:tr>
      <w:tr>
        <w:trPr>
          <w:trHeight w:val="760" w:hRule="atLeast"/>
        </w:trPr>
        <w:tc>
          <w:tcPr>
            <w:tcW w:w="2400" w:type="dxa"/>
            <w:vAlign w:val="center"/>
          </w:tcPr>
          <w:p>
            <w:r>
              <w:rPr>
                <w:b w:val="0"/>
                <w:sz w:val="17"/>
              </w:rPr>
              <w:t>Key Features</w:t>
            </w:r>
          </w:p>
        </w:tc>
        <w:tc>
          <w:tcPr>
            <w:tcW w:w="6960" w:type="dxa"/>
            <w:vAlign w:val="center"/>
          </w:tcPr>
          <w:p>
            <w:r>
              <w:rPr>
                <w:b w:val="0"/>
                <w:sz w:val="16"/>
              </w:rPr>
              <w:t>• Ask questions and receive concise answers</w:t>
              <w:br/>
              <w:t>• Explain complex concepts in simple language</w:t>
              <w:br/>
              <w:t>• Generate quizzes with multiple-choice questions</w:t>
              <w:br/>
              <w:t>• Summarize long educational passages</w:t>
              <w:br/>
              <w:t>• Generate beginner-to-advanced learning paths</w:t>
              <w:br/>
              <w:t>• Responsive HTML/CSS web interface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00" w:bottom="280" w:left="1440" w:right="1080"/>
          <w:pgNumType w:start="1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760" w:hRule="atLeast"/>
        </w:trPr>
        <w:tc>
          <w:tcPr>
            <w:tcW w:w="2400" w:type="dxa"/>
            <w:vAlign w:val="center"/>
          </w:tcPr>
          <w:p>
            <w:r>
              <w:rPr>
                <w:b/>
                <w:sz w:val="17"/>
              </w:rPr>
              <w:t>Additional Key Features</w:t>
            </w:r>
          </w:p>
        </w:tc>
        <w:tc>
          <w:tcPr>
            <w:tcW w:w="6960" w:type="dxa"/>
            <w:vAlign w:val="center"/>
          </w:tcPr>
          <w:p>
            <w:r>
              <w:rPr>
                <w:b w:val="0"/>
                <w:sz w:val="16"/>
              </w:rPr>
              <w:t>• Gemini cloud-based generation for major learning tasks</w:t>
              <w:br/>
              <w:t>• Lightweight local explanation model</w:t>
              <w:br/>
              <w:t>• FastAPI REST endpoints: /qa, /explain, /quiz, /summarize, /learn/recommendations</w:t>
              <w:br/>
              <w:t>• Clear error handling for generation/parsing failures</w:t>
            </w:r>
          </w:p>
        </w:tc>
      </w:tr>
    </w:tbl>
    <w:p>
      <w:pPr>
        <w:pStyle w:val="BodyText"/>
        <w:spacing w:before="202"/>
      </w:pPr>
    </w:p>
    <w:p>
      <w:pPr>
        <w:pStyle w:val="Heading2"/>
      </w:pPr>
      <w:bookmarkStart w:name="Resource Requirements " w:id="3"/>
      <w:bookmarkEnd w:id="3"/>
      <w:r>
        <w:rPr>
          <w:b w:val="0"/>
        </w:rPr>
      </w:r>
      <w:r>
        <w:rPr/>
        <w:t>Resource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8"/>
        <w:rPr>
          <w:b/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80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Resource Type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Description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Specification/Allocation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3"/>
            <w:vAlign w:val="center"/>
          </w:tcPr>
          <w:p>
            <w:r>
              <w:rPr>
                <w:b w:val="0"/>
                <w:sz w:val="15"/>
              </w:rPr>
              <w:t>Hardware</w:t>
            </w:r>
          </w:p>
        </w:tc>
      </w:tr>
      <w:tr>
        <w:trPr>
          <w:trHeight w:val="760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Computing Resources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CPU/GPU specifications, number of cores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A standard student laptop/desktop; cloud Gemini inference reduces local compute needs.</w:t>
            </w:r>
          </w:p>
        </w:tc>
      </w:tr>
      <w:tr>
        <w:trPr>
          <w:trHeight w:val="480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Memory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RAM specifications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8 GB RAM is suitable for the lightweight local web application; local model use may require additional memory depending on configuration.</w:t>
            </w:r>
          </w:p>
        </w:tc>
      </w:tr>
      <w:tr>
        <w:trPr>
          <w:trHeight w:val="759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Storage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Disk space for application, dependencies and logs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At least 10 GB free recommended for project setup, Python environment and model/dependency files.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3"/>
            <w:vAlign w:val="center"/>
          </w:tcPr>
          <w:p>
            <w:r>
              <w:rPr>
                <w:b w:val="0"/>
                <w:sz w:val="15"/>
              </w:rPr>
              <w:t>Software</w:t>
            </w:r>
          </w:p>
        </w:tc>
      </w:tr>
      <w:tr>
        <w:trPr>
          <w:trHeight w:val="480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Frameworks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Python frameworks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FastAPI + Uvicorn + Jinja2</w:t>
            </w:r>
          </w:p>
        </w:tc>
      </w:tr>
      <w:tr>
        <w:trPr>
          <w:trHeight w:val="760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Libraries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Additional libraries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Google Gemini client/API integration, Transformers for LaMini-Flan-T5, and standard Python utilities used by the modules.</w:t>
            </w:r>
          </w:p>
        </w:tc>
      </w:tr>
      <w:tr>
        <w:trPr>
          <w:trHeight w:val="460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Development Environment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IDE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VS Code or another Python IDE; terminal/command prompt for Uvicorn.</w:t>
            </w:r>
          </w:p>
        </w:tc>
      </w:tr>
      <w:tr>
        <w:trPr>
          <w:trHeight w:val="479" w:hRule="atLeast"/>
        </w:trPr>
        <w:tc>
          <w:tcPr>
            <w:tcW w:w="9360" w:type="dxa"/>
            <w:gridSpan w:val="3"/>
            <w:vAlign w:val="center"/>
          </w:tcPr>
          <w:p>
            <w:r>
              <w:rPr>
                <w:b w:val="0"/>
                <w:sz w:val="15"/>
              </w:rPr>
              <w:t>Data</w:t>
            </w:r>
          </w:p>
        </w:tc>
      </w:tr>
      <w:tr>
        <w:trPr>
          <w:trHeight w:val="760" w:hRule="atLeast"/>
        </w:trPr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Data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Source, size, format</w:t>
            </w:r>
          </w:p>
        </w:tc>
        <w:tc>
          <w:tcPr>
            <w:tcW w:w="3120" w:type="dxa"/>
            <w:vAlign w:val="center"/>
          </w:tcPr>
          <w:p>
            <w:r>
              <w:rPr>
                <w:b w:val="0"/>
                <w:sz w:val="15"/>
              </w:rPr>
              <w:t>User-provided questions, topics and passages; no fixed training dataset is required for the documented application workflow.</w:t>
            </w:r>
          </w:p>
        </w:tc>
      </w:tr>
    </w:tbl>
    <w:sectPr>
      <w:pgSz w:w="12240" w:h="15840"/>
      <w:pgMar w:header="0" w:footer="0"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0832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1344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90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22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ind w:left="12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terms:created xsi:type="dcterms:W3CDTF">2026-09-28T16:06:23Z</dcterms:created>
  <dcterms:modified xsi:type="dcterms:W3CDTF">2026-09-28T16:06:23Z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