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265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Code-Layout, Readability and Reusability" w:id="1"/>
      <w:bookmarkEnd w:id="1"/>
      <w:r>
        <w:rPr>
          <w:b w:val="0"/>
        </w:rPr>
      </w:r>
      <w:r>
        <w:rPr/>
        <w:t>Code-Layout,</w:t>
      </w:r>
      <w:r>
        <w:rPr>
          <w:spacing w:val="-9"/>
        </w:rPr>
        <w:t> </w:t>
      </w:r>
      <w:r>
        <w:rPr/>
        <w:t>Readability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Reusability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r>
              <w:t>25/09/2026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r>
              <w:t>SWTID-2026-2701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r>
              <w:t>EduGenie: Google Gemini powered learning assistant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Code-Layout, Readability and Reusability" w:id="2"/>
      <w:bookmarkEnd w:id="2"/>
      <w:r>
        <w:rPr>
          <w:b w:val="0"/>
        </w:rPr>
      </w:r>
      <w:r>
        <w:rPr/>
        <w:t>Code-Layout,</w:t>
      </w:r>
      <w:r>
        <w:rPr>
          <w:spacing w:val="-9"/>
        </w:rPr>
        <w:t> </w:t>
      </w:r>
      <w:r>
        <w:rPr/>
        <w:t>Readability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Reusability:</w:t>
      </w:r>
    </w:p>
    <w:p>
      <w:pPr>
        <w:pStyle w:val="BodyText"/>
        <w:spacing w:line="292" w:lineRule="auto" w:before="66"/>
        <w:ind w:left="540" w:right="768"/>
      </w:pPr>
      <w:r>
        <w:rPr/>
        <w:t>This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evaluates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quality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codebase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terms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structure,</w:t>
      </w:r>
      <w:r>
        <w:rPr>
          <w:spacing w:val="-5"/>
        </w:rPr>
        <w:t> </w:t>
      </w:r>
      <w:r>
        <w:rPr/>
        <w:t>readability,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reusability. Well-organized code with proper naming conventions, comments, and modular design ensures that the project is maintainable and can be extended or reused in future development.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Heading2"/>
        <w:spacing w:before="1" w:after="38"/>
      </w:pPr>
      <w:bookmarkStart w:name="Code Layout Checklist: " w:id="3"/>
      <w:bookmarkEnd w:id="3"/>
      <w:r>
        <w:rPr>
          <w:b w:val="0"/>
        </w:rPr>
      </w:r>
      <w:r>
        <w:rPr/>
        <w:t>Code</w:t>
      </w:r>
      <w:r>
        <w:rPr>
          <w:spacing w:val="-5"/>
        </w:rPr>
        <w:t> </w:t>
      </w:r>
      <w:r>
        <w:rPr/>
        <w:t>Layout</w:t>
      </w:r>
      <w:r>
        <w:rPr>
          <w:spacing w:val="-5"/>
        </w:rPr>
        <w:t> </w:t>
      </w:r>
      <w:r>
        <w:rPr>
          <w:spacing w:val="-2"/>
        </w:rPr>
        <w:t>Checklist: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260"/>
        <w:gridCol w:w="3120"/>
        <w:gridCol w:w="1700"/>
        <w:gridCol w:w="2660"/>
      </w:tblGrid>
      <w:tr>
        <w:trPr>
          <w:trHeight w:val="839" w:hRule="atLeast"/>
        </w:trPr>
        <w:tc>
          <w:tcPr>
            <w:tcW w:w="580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120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 Partial)</w:t>
            </w:r>
          </w:p>
        </w:tc>
        <w:tc>
          <w:tcPr>
            <w:tcW w:w="2660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Uniform spacing/tabs used </w:t>
            </w:r>
            <w:r>
              <w:rPr>
                <w:spacing w:val="-2"/>
                <w:sz w:val="18"/>
              </w:rPr>
              <w:t>throughou</w:t>
            </w:r>
          </w:p>
        </w:tc>
        <w:tc>
          <w:tcPr>
            <w:tcW w:w="1700" w:type="dxa"/>
          </w:tcPr>
          <w:p>
            <w:r>
              <w:t>Yes</w:t>
            </w:r>
          </w:p>
        </w:tc>
        <w:tc>
          <w:tcPr>
            <w:tcW w:w="2660" w:type="dxa"/>
          </w:tcPr>
          <w:p>
            <w:r>
              <w:t>Consistent formatting is followed across the documented Python modules.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>Files and folders are logically </w:t>
            </w:r>
            <w:r>
              <w:rPr>
                <w:spacing w:val="-2"/>
                <w:sz w:val="18"/>
              </w:rPr>
              <w:t>organize</w:t>
            </w:r>
          </w:p>
        </w:tc>
        <w:tc>
          <w:tcPr>
            <w:tcW w:w="1700" w:type="dxa"/>
          </w:tcPr>
          <w:p>
            <w:r>
              <w:t>Yes</w:t>
            </w:r>
          </w:p>
        </w:tc>
        <w:tc>
          <w:tcPr>
            <w:tcW w:w="2660" w:type="dxa"/>
          </w:tcPr>
          <w:p>
            <w:r>
              <w:t>Organized into main.py, feature modules, templates, static files, and requirements.txt.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reflect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700" w:type="dxa"/>
          </w:tcPr>
          <w:p>
            <w:r>
              <w:t>Partial</w:t>
            </w:r>
          </w:p>
        </w:tc>
        <w:tc>
          <w:tcPr>
            <w:tcW w:w="2660" w:type="dxa"/>
          </w:tcPr>
          <w:p>
            <w:r>
              <w:t>Documented module/function names are descriptive; detailed variable-level review was not independently available.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700" w:type="dxa"/>
          </w:tcPr>
          <w:p>
            <w:r>
              <w:t>Yes</w:t>
            </w:r>
          </w:p>
        </w:tc>
        <w:tc>
          <w:tcPr>
            <w:tcW w:w="2660" w:type="dxa"/>
          </w:tcPr>
          <w:p>
            <w:r>
              <w:t>Functions are named according to their purpose.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>Inline and block comments explain </w:t>
            </w:r>
            <w:r>
              <w:rPr>
                <w:spacing w:val="-5"/>
                <w:sz w:val="18"/>
              </w:rPr>
              <w:t>log</w:t>
            </w:r>
          </w:p>
        </w:tc>
        <w:tc>
          <w:tcPr>
            <w:tcW w:w="1700" w:type="dxa"/>
          </w:tcPr>
          <w:p>
            <w:r>
              <w:t>Partial</w:t>
            </w:r>
          </w:p>
        </w:tc>
        <w:tc>
          <w:tcPr>
            <w:tcW w:w="2660" w:type="dxa"/>
          </w:tcPr>
          <w:p>
            <w:r>
              <w:t>Project documentation explains modules; inline source-comment density was not independently reviewed.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>Code is split into reusable </w:t>
            </w:r>
            <w:r>
              <w:rPr>
                <w:spacing w:val="-2"/>
                <w:sz w:val="18"/>
              </w:rPr>
              <w:t>functions/m</w:t>
            </w:r>
          </w:p>
        </w:tc>
        <w:tc>
          <w:tcPr>
            <w:tcW w:w="1700" w:type="dxa"/>
          </w:tcPr>
          <w:p>
            <w:r>
              <w:t>Yes</w:t>
            </w:r>
          </w:p>
        </w:tc>
        <w:tc>
          <w:tcPr>
            <w:tcW w:w="2660" w:type="dxa"/>
          </w:tcPr>
          <w:p>
            <w:r>
              <w:t>Q&amp;A, explanation, quiz, summary, and learning-path functions are separated into modules.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700" w:type="dxa"/>
          </w:tcPr>
          <w:p>
            <w:r>
              <w:t>Partial</w:t>
            </w:r>
          </w:p>
        </w:tc>
        <w:tc>
          <w:tcPr>
            <w:tcW w:w="2660" w:type="dxa"/>
          </w:tcPr>
          <w:p>
            <w:r>
              <w:t>Duplicate or unused code cannot be independently verified without the repository.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>Exceptions and errors are handled </w:t>
            </w:r>
            <w:r>
              <w:rPr>
                <w:spacing w:val="-5"/>
                <w:sz w:val="18"/>
              </w:rPr>
              <w:t>gra</w:t>
            </w:r>
          </w:p>
        </w:tc>
        <w:tc>
          <w:tcPr>
            <w:tcW w:w="1700" w:type="dxa"/>
          </w:tcPr>
          <w:p>
            <w:r>
              <w:t>Yes</w:t>
            </w:r>
          </w:p>
        </w:tc>
        <w:tc>
          <w:tcPr>
            <w:tcW w:w="2660" w:type="dxa"/>
          </w:tcPr>
          <w:p>
            <w:r>
              <w:t>API response/error handling and quiz JSON parsing/error handling are documented.</w:t>
            </w: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30"/>
        <w:rPr>
          <w:rFonts w:ascii="Arial"/>
          <w:b/>
          <w:sz w:val="22"/>
        </w:rPr>
      </w:pPr>
    </w:p>
    <w:p>
      <w:pPr>
        <w:pStyle w:val="Heading2"/>
        <w:spacing w:after="35"/>
      </w:pPr>
      <w:bookmarkStart w:name="Reusable Components / Modules: " w:id="4"/>
      <w:bookmarkEnd w:id="4"/>
      <w:r>
        <w:rPr>
          <w:b w:val="0"/>
        </w:rPr>
      </w:r>
      <w:r>
        <w:rPr/>
        <w:t>Reusable</w:t>
      </w:r>
      <w:r>
        <w:rPr>
          <w:spacing w:val="-7"/>
        </w:rPr>
        <w:t> </w:t>
      </w:r>
      <w:r>
        <w:rPr/>
        <w:t>Components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2"/>
        </w:rPr>
        <w:t>Modules: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540"/>
        <w:gridCol w:w="1980"/>
        <w:gridCol w:w="2560"/>
        <w:gridCol w:w="2660"/>
      </w:tblGrid>
      <w:tr>
        <w:trPr>
          <w:trHeight w:val="859" w:hRule="atLeast"/>
        </w:trPr>
        <w:tc>
          <w:tcPr>
            <w:tcW w:w="580" w:type="dxa"/>
          </w:tcPr>
          <w:p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540" w:type="dxa"/>
          </w:tcPr>
          <w:p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Language / </w:t>
            </w:r>
            <w:r>
              <w:rPr>
                <w:rFonts w:ascii="Arial"/>
                <w:b/>
                <w:spacing w:val="-2"/>
                <w:sz w:val="18"/>
              </w:rPr>
              <w:t>Technolog</w:t>
            </w:r>
          </w:p>
        </w:tc>
        <w:tc>
          <w:tcPr>
            <w:tcW w:w="2560" w:type="dxa"/>
          </w:tcPr>
          <w:p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yWhere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>
            <w:pPr>
              <w:pStyle w:val="TableParagraph"/>
              <w:spacing w:line="278" w:lineRule="auto" w:before="127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>
            <w:r>
              <w:t>explanation_module.py</w:t>
            </w:r>
          </w:p>
        </w:tc>
        <w:tc>
          <w:tcPr>
            <w:tcW w:w="1980" w:type="dxa"/>
          </w:tcPr>
          <w:p>
            <w:r>
              <w:t>Python / Transformers</w:t>
            </w:r>
          </w:p>
        </w:tc>
        <w:tc>
          <w:tcPr>
            <w:tcW w:w="2560" w:type="dxa"/>
          </w:tcPr>
          <w:p>
            <w:r>
              <w:t>Concept explanation</w:t>
            </w:r>
          </w:p>
        </w:tc>
        <w:tc>
          <w:tcPr>
            <w:tcW w:w="2660" w:type="dxa"/>
          </w:tcPr>
          <w:p>
            <w:r>
              <w:t>High</w:t>
            </w: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20" w:h="16840"/>
          <w:pgMar w:top="960" w:bottom="1171" w:left="708" w:right="708"/>
        </w:sectPr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540"/>
        <w:gridCol w:w="1980"/>
        <w:gridCol w:w="2560"/>
        <w:gridCol w:w="2660"/>
      </w:tblGrid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45"/>
        <w:rPr>
          <w:rFonts w:ascii="Arial"/>
          <w:b/>
          <w:sz w:val="22"/>
        </w:rPr>
      </w:pPr>
    </w:p>
    <w:p>
      <w:pPr>
        <w:pStyle w:val="Heading2"/>
        <w:spacing w:after="38"/>
      </w:pPr>
      <w:bookmarkStart w:name="Overall Code Quality Assessment: " w:id="5"/>
      <w:bookmarkEnd w:id="5"/>
      <w:r>
        <w:rPr>
          <w:b w:val="0"/>
        </w:rPr>
      </w:r>
      <w:r>
        <w:rPr/>
        <w:t>Overall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Quality</w:t>
      </w:r>
      <w:r>
        <w:rPr>
          <w:spacing w:val="-6"/>
        </w:rPr>
        <w:t> </w:t>
      </w:r>
      <w:r>
        <w:rPr>
          <w:spacing w:val="-2"/>
        </w:rPr>
        <w:t>Assessment: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0"/>
        <w:gridCol w:w="1700"/>
        <w:gridCol w:w="5780"/>
      </w:tblGrid>
      <w:tr>
        <w:trPr>
          <w:trHeight w:val="540" w:hRule="atLeast"/>
        </w:trPr>
        <w:tc>
          <w:tcPr>
            <w:tcW w:w="2840" w:type="dxa"/>
          </w:tcPr>
          <w:p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>
        <w:trPr>
          <w:trHeight w:val="520" w:hRule="atLeast"/>
        </w:trPr>
        <w:tc>
          <w:tcPr>
            <w:tcW w:w="2840" w:type="dxa"/>
          </w:tcPr>
          <w:p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>
            <w:r>
              <w:t>5</w:t>
            </w:r>
          </w:p>
        </w:tc>
        <w:tc>
          <w:tcPr>
            <w:tcW w:w="5780" w:type="dxa"/>
          </w:tcPr>
          <w:p>
            <w:r>
              <w:t>Clear modular structure with separate feature modules and frontend assets.</w:t>
            </w:r>
          </w:p>
        </w:tc>
      </w:tr>
      <w:tr>
        <w:trPr>
          <w:trHeight w:val="540" w:hRule="atLeast"/>
        </w:trPr>
        <w:tc>
          <w:tcPr>
            <w:tcW w:w="2840" w:type="dxa"/>
          </w:tcPr>
          <w:p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>
            <w:r>
              <w:t>4</w:t>
            </w:r>
          </w:p>
        </w:tc>
        <w:tc>
          <w:tcPr>
            <w:tcW w:w="5780" w:type="dxa"/>
          </w:tcPr>
          <w:p>
            <w:r>
              <w:t>Names and module separation are clear; source-level readability was not independently audited.</w:t>
            </w:r>
          </w:p>
        </w:tc>
      </w:tr>
      <w:tr>
        <w:trPr>
          <w:trHeight w:val="539" w:hRule="atLeast"/>
        </w:trPr>
        <w:tc>
          <w:tcPr>
            <w:tcW w:w="2840" w:type="dxa"/>
          </w:tcPr>
          <w:p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>
            <w:r>
              <w:t>5</w:t>
            </w:r>
          </w:p>
        </w:tc>
        <w:tc>
          <w:tcPr>
            <w:tcW w:w="5780" w:type="dxa"/>
          </w:tcPr>
          <w:p>
            <w:r>
              <w:t>Feature logic is separated into reusable modules.</w:t>
            </w:r>
          </w:p>
        </w:tc>
      </w:tr>
      <w:tr>
        <w:trPr>
          <w:trHeight w:val="539" w:hRule="atLeast"/>
        </w:trPr>
        <w:tc>
          <w:tcPr>
            <w:tcW w:w="2840" w:type="dxa"/>
          </w:tcPr>
          <w:p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>
            <w:r>
              <w:t>4</w:t>
            </w:r>
          </w:p>
        </w:tc>
        <w:tc>
          <w:tcPr>
            <w:tcW w:w="5780" w:type="dxa"/>
          </w:tcPr>
          <w:p>
            <w:r>
              <w:t>Project documentation clearly describes setup, modules, APIs, and functionality.</w:t>
            </w:r>
          </w:p>
        </w:tc>
      </w:tr>
      <w:tr>
        <w:trPr>
          <w:trHeight w:val="520" w:hRule="atLeast"/>
        </w:trPr>
        <w:tc>
          <w:tcPr>
            <w:tcW w:w="2840" w:type="dxa"/>
          </w:tcPr>
          <w:p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>
            <w:r>
              <w:t>4</w:t>
            </w:r>
          </w:p>
        </w:tc>
        <w:tc>
          <w:tcPr>
            <w:tcW w:w="5780" w:type="dxa"/>
          </w:tcPr>
          <w:p>
            <w:r>
              <w:t>Strong documented structure; based on supplied project documentation rather than an independent repository audit.</w:t>
            </w:r>
          </w:p>
        </w:tc>
      </w:tr>
    </w:tbl>
    <w:sectPr>
      <w:type w:val="continuous"/>
      <w:pgSz w:w="11920" w:h="16840"/>
      <w:pgMar w:top="9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terms:created xsi:type="dcterms:W3CDTF">2026-09-28T16:08:11Z</dcterms:created>
  <dcterms:modified xsi:type="dcterms:W3CDTF">2026-09-28T16:08:11Z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