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olution Requirements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25/09/2026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7"/>
        <w:rPr>
          <w:b/>
          <w:sz w:val="22"/>
        </w:rPr>
      </w:pPr>
    </w:p>
    <w:p>
      <w:pPr>
        <w:pStyle w:val="Heading2"/>
      </w:pPr>
      <w:r>
        <w:rPr/>
        <w:t>Define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>
          <w:spacing w:val="-2"/>
        </w:rPr>
        <w:t>Requirements:</w:t>
      </w:r>
    </w:p>
    <w:p>
      <w:pPr>
        <w:spacing w:line="240" w:lineRule="auto" w:before="25"/>
        <w:rPr>
          <w:b/>
          <w:sz w:val="22"/>
        </w:rPr>
      </w:pPr>
    </w:p>
    <w:p>
      <w:pPr>
        <w:pStyle w:val="BodyText"/>
        <w:spacing w:line="276" w:lineRule="auto"/>
        <w:ind w:right="130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and how well it will perform.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behaviors,</w:t>
      </w:r>
      <w:r>
        <w:rPr>
          <w:spacing w:val="-5"/>
          <w:sz w:val="22"/>
        </w:rPr>
        <w:t> </w:t>
      </w:r>
      <w:r>
        <w:rPr>
          <w:sz w:val="22"/>
        </w:rPr>
        <w:t>functions,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specify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>
      <w:pPr>
        <w:pStyle w:val="BodyText"/>
        <w:spacing w:before="240"/>
      </w:pPr>
      <w:r>
        <w:rPr/>
        <w:t>Fill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>
          <w:spacing w:val="-2"/>
        </w:rPr>
        <w:t>below.</w:t>
      </w:r>
    </w:p>
    <w:p>
      <w:pPr>
        <w:pStyle w:val="BodyText"/>
        <w:spacing w:before="25"/>
      </w:pPr>
    </w:p>
    <w:p>
      <w:pPr>
        <w:pStyle w:val="Heading2"/>
      </w:pPr>
      <w:bookmarkStart w:name="Step 1: Functional Requirements (FR) " w:id="2"/>
      <w:bookmarkEnd w:id="2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spacing w:val="-4"/>
        </w:rPr>
        <w:t>(FR)</w:t>
      </w:r>
    </w:p>
    <w:p>
      <w:pPr>
        <w:spacing w:line="240" w:lineRule="auto" w:before="7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279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16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</w:tcPr>
          <w:p>
            <w:pPr>
              <w:pStyle w:val="TableParagraph"/>
              <w:spacing w:line="276" w:lineRule="auto" w:before="116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>
        <w:trPr>
          <w:trHeight w:val="160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No login is required in the current lightweight version; learners directly access the interface.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Low</w:t>
            </w:r>
          </w:p>
        </w:tc>
      </w:tr>
      <w:tr>
        <w:trPr>
          <w:trHeight w:val="158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Authorization levels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Single role: Student/Learner. The user can access Q&amp;A, explanation, quiz, summary and learning-path functions.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Low</w:t>
            </w:r>
          </w:p>
        </w:tc>
      </w:tr>
      <w:tr>
        <w:trPr>
          <w:trHeight w:val="135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External interfaces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Google Gemini API for Q&amp;A, quizzes, summaries and learning recommendations; LaMini-Flan-T5-783M can support local concept explanation.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440" w:bottom="862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280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learning APIs/models used by the system.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</w:tr>
      <w:tr>
        <w:trPr>
          <w:trHeight w:val="187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Transactions processing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Receives learner input through FastAPI POST requests and routes it to the selected module. No payment transactions are required.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</w:tr>
      <w:tr>
        <w:trPr>
          <w:trHeight w:val="187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Reporting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Current scope returns generated learning outputs; formal dashboards and exports are not required.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Low</w:t>
            </w:r>
          </w:p>
        </w:tc>
      </w:tr>
      <w:tr>
        <w:trPr>
          <w:trHeight w:val="188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Business rules, etc.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The selected task determines the backend module. Quiz generation should produce three MCQs with four options and a correct answer; summaries should retain key information while reducing length.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</w:tr>
      <w:tr>
        <w:trPr>
          <w:trHeight w:val="187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Compliance to laws or regulations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Protect the Gemini API key, do not expose secrets in frontend code, and handle learner input responsibly. No formal certification is specified.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</w:tr>
      <w:tr>
        <w:trPr>
          <w:trHeight w:val="158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w="2060" w:type="dxa"/>
            <w:vAlign w:val="center"/>
          </w:tcPr>
          <w:p>
            <w:r>
              <w:rPr>
                <w:b w:val="0"/>
                <w:sz w:val="18"/>
              </w:rPr>
              <w:t>Other</w:t>
            </w:r>
          </w:p>
        </w:tc>
        <w:tc>
          <w:tcPr>
            <w:tcW w:w="3140" w:type="dxa"/>
            <w:vAlign w:val="center"/>
          </w:tcPr>
          <w:p>
            <w:r>
              <w:rPr>
                <w:b w:val="0"/>
                <w:sz w:val="18"/>
              </w:rPr>
              <w:t>Provide a simple responsive interface with input and result areas for Explain, Q&amp;A, Quiz, Summary and Learning Recommendations.</w:t>
            </w:r>
          </w:p>
        </w:tc>
        <w:tc>
          <w:tcPr>
            <w:tcW w:w="2660" w:type="dxa"/>
            <w:vAlign w:val="center"/>
          </w:tcPr>
          <w:p>
            <w:r>
              <w:rPr>
                <w:b w:val="0"/>
                <w:sz w:val="18"/>
              </w:rPr>
              <w:t>High</w:t>
            </w:r>
          </w:p>
        </w:tc>
      </w:tr>
    </w:tbl>
    <w:p>
      <w:pPr>
        <w:pStyle w:val="Heading2"/>
        <w:spacing w:before="17"/>
      </w:pPr>
      <w:bookmarkStart w:name="Step 2: Non-Functional Requirements (NFR" w:id="3"/>
      <w:bookmarkEnd w:id="3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>
          <w:spacing w:val="-2"/>
        </w:rPr>
        <w:t>(NFR)</w:t>
      </w:r>
    </w:p>
    <w:p>
      <w:pPr>
        <w:spacing w:line="240" w:lineRule="auto" w:before="4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99" w:hRule="atLeast"/>
        </w:trPr>
        <w:tc>
          <w:tcPr>
            <w:tcW w:w="9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>
            <w:pPr>
              <w:pStyle w:val="TableParagraph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0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Criteria</w:t>
            </w:r>
          </w:p>
        </w:tc>
      </w:tr>
    </w:tbl>
    <w:p>
      <w:pPr>
        <w:pStyle w:val="TableParagraph"/>
        <w:spacing w:after="0" w:line="276" w:lineRule="auto"/>
        <w:rPr>
          <w:b/>
          <w:sz w:val="22"/>
        </w:rPr>
        <w:sectPr>
          <w:type w:val="continuous"/>
          <w:pgSz w:w="12240" w:h="15840"/>
          <w:pgMar w:header="0" w:footer="0" w:top="1440" w:bottom="156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8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Performance &amp; Speed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Prompt page interaction and normal server handling should be responsive; AI generation time may vary by external API.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Target: under 3 seconds excluding external AI generation.</w:t>
            </w:r>
          </w:p>
        </w:tc>
      </w:tr>
      <w:tr>
        <w:trPr>
          <w:trHeight w:val="159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Scalability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Use modular FastAPI components so individual AI features can be extended or replaced without redesigning the whole application.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Modular architecture; no fixed user-count target is specified.</w:t>
            </w:r>
          </w:p>
        </w:tc>
      </w:tr>
      <w:tr>
        <w:trPr>
          <w:trHeight w:val="158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Security &amp; Data Privacy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Keep Gemini API credentials server-side, validate inputs and avoid unnecessary logging of learner content.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No API secrets in client-side code; controlled server-side API access.</w:t>
            </w:r>
          </w:p>
        </w:tc>
      </w:tr>
      <w:tr>
        <w:trPr>
          <w:trHeight w:val="1300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Reliability &amp; Availability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Handle model/API failures and invalid AI output with clear error messages instead of crashing the application.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Graceful error handling for failed requests/parsing.</w:t>
            </w:r>
          </w:p>
        </w:tc>
      </w:tr>
      <w:tr>
        <w:trPr>
          <w:trHeight w:val="157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Usability &amp; Accessibility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Use a simple, readable, responsive browser interface with clear labels, buttons and result areas.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Core functions accessible through a standard web browser.</w:t>
            </w:r>
          </w:p>
        </w:tc>
      </w:tr>
      <w:tr>
        <w:trPr>
          <w:trHeight w:val="1879" w:hRule="atLeast"/>
        </w:trPr>
        <w:tc>
          <w:tcPr>
            <w:tcW w:w="920" w:type="dxa"/>
            <w:vAlign w:val="center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w="2000" w:type="dxa"/>
            <w:vAlign w:val="center"/>
          </w:tcPr>
          <w:p>
            <w:r>
              <w:rPr>
                <w:b w:val="0"/>
                <w:sz w:val="18"/>
              </w:rPr>
              <w:t>Other</w:t>
            </w:r>
          </w:p>
        </w:tc>
        <w:tc>
          <w:tcPr>
            <w:tcW w:w="3380" w:type="dxa"/>
            <w:vAlign w:val="center"/>
          </w:tcPr>
          <w:p>
            <w:r>
              <w:rPr>
                <w:b w:val="0"/>
                <w:sz w:val="18"/>
              </w:rPr>
              <w:t>Maintain separate modules for Q&amp;A, explanation, quiz, summary and learning paths.</w:t>
            </w:r>
          </w:p>
        </w:tc>
        <w:tc>
          <w:tcPr>
            <w:tcW w:w="2460" w:type="dxa"/>
            <w:vAlign w:val="center"/>
          </w:tcPr>
          <w:p>
            <w:r>
              <w:rPr>
                <w:b w:val="0"/>
                <w:sz w:val="18"/>
              </w:rPr>
              <w:t>Each module can be maintained independently.</w:t>
            </w:r>
          </w:p>
        </w:tc>
      </w:tr>
    </w:tbl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731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207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terms:created xsi:type="dcterms:W3CDTF">2026-09-28T16:04:01Z</dcterms:created>
  <dcterms:modified xsi:type="dcterms:W3CDTF">2026-09-28T16:04:01Z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