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Arial Unicode MS" w:hAnsi="Arial Unicode MS" w:eastAsia="Arial Unicode MS"/>
          <w:b/>
          <w:color w:val="2E74B5"/>
          <w:sz w:val="22"/>
        </w:rPr>
        <w:t>QHSE DIGITAL SOLUTION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B4A"/>
          <w:sz w:val="60"/>
        </w:rPr>
        <w:t>炼化企业 QHSE 风险联动平台</w:t>
      </w:r>
    </w:p>
    <w:p>
      <w:pPr>
        <w:spacing w:after="520"/>
        <w:jc w:val="center"/>
      </w:pPr>
      <w:r>
        <w:rPr>
          <w:rFonts w:ascii="Arial Unicode MS" w:hAnsi="Arial Unicode MS" w:eastAsia="Arial Unicode MS"/>
          <w:b/>
          <w:color w:val="2E74B5"/>
          <w:sz w:val="44"/>
        </w:rPr>
        <w:t>建设解决方案</w:t>
      </w:r>
    </w:p>
    <w:p>
      <w:pPr>
        <w:spacing w:after="880"/>
        <w:jc w:val="center"/>
      </w:pPr>
      <w:r>
        <w:rPr>
          <w:rFonts w:ascii="Arial Unicode MS" w:hAnsi="Arial Unicode MS" w:eastAsia="Arial Unicode MS"/>
          <w:color w:val="687B84"/>
          <w:sz w:val="25"/>
        </w:rPr>
        <w:t>以风险分级管控为基础，以多源监测预警为驱动，构建覆盖事前预防、事中协同与事后复盘的数字化闭环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AF2F7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20"/>
              </w:rPr>
              <w:t>项目</w:t>
            </w:r>
          </w:p>
        </w:tc>
        <w:tc>
          <w:tcPr>
            <w:tcW w:type="dxa" w:w="7560"/>
            <w:vAlign w:val="center"/>
            <w:shd w:fill="EAF2F7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20"/>
              </w:rPr>
              <w:t>内容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0"/>
              </w:rPr>
              <w:t>文档版本</w:t>
            </w:r>
          </w:p>
        </w:tc>
        <w:tc>
          <w:tcPr>
            <w:tcW w:type="dxa" w:w="7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0"/>
              </w:rPr>
              <w:t>V1.0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0"/>
              </w:rPr>
              <w:t>编制日期</w:t>
            </w:r>
          </w:p>
        </w:tc>
        <w:tc>
          <w:tcPr>
            <w:tcW w:type="dxa" w:w="7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0"/>
              </w:rPr>
              <w:t>2026 年 7 月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0"/>
              </w:rPr>
              <w:t>文档属性</w:t>
            </w:r>
          </w:p>
        </w:tc>
        <w:tc>
          <w:tcPr>
            <w:tcW w:type="dxa" w:w="7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0"/>
              </w:rPr>
              <w:t>项目建设方案（交流版）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0"/>
              </w:rPr>
              <w:t>适用范围</w:t>
            </w:r>
          </w:p>
        </w:tc>
        <w:tc>
          <w:tcPr>
            <w:tcW w:type="dxa" w:w="7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0"/>
              </w:rPr>
              <w:t>炼化企业安全生产、环境监测、应急协同与闭环治理</w:t>
            </w:r>
          </w:p>
        </w:tc>
      </w:tr>
    </w:tbl>
    <w:p>
      <w:pPr>
        <w:spacing w:after="40"/>
      </w:pPr>
    </w:p>
    <w:p/>
    <w:p/>
    <w:p>
      <w:pPr>
        <w:jc w:val="center"/>
      </w:pPr>
      <w:r>
        <w:rPr>
          <w:rFonts w:ascii="Arial Unicode MS" w:hAnsi="Arial Unicode MS" w:eastAsia="Arial Unicode MS"/>
          <w:i/>
          <w:color w:val="687B84"/>
          <w:sz w:val="17"/>
        </w:rPr>
        <w:t>本方案用于项目交流、需求确认与立项论证，最终建设范围、技术指标与验收口径以双方确认文件及合同约定为准。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EAF2F7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21"/>
              </w:rPr>
              <w:t>方案章节</w:t>
            </w:r>
          </w:p>
        </w:tc>
        <w:tc>
          <w:tcPr>
            <w:tcW w:type="dxa" w:w="4680"/>
            <w:vAlign w:val="center"/>
            <w:shd w:fill="EAF2F7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21"/>
              </w:rPr>
              <w:t>方案章节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1"/>
              </w:rPr>
              <w:t>01  执行摘要</w:t>
            </w:r>
          </w:p>
        </w:tc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1"/>
              </w:rPr>
              <w:t>02  项目背景与建设目标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1"/>
              </w:rPr>
              <w:t>03  现状评估与建设范围</w:t>
            </w:r>
          </w:p>
        </w:tc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1"/>
              </w:rPr>
              <w:t>04  总体业务架构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1"/>
              </w:rPr>
              <w:t>05  业务功能解决方案</w:t>
            </w:r>
          </w:p>
        </w:tc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1"/>
              </w:rPr>
              <w:t>06  核心业务闭环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1"/>
              </w:rPr>
              <w:t>07  技术架构方案</w:t>
            </w:r>
          </w:p>
        </w:tc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1"/>
              </w:rPr>
              <w:t>08  数据架构与系统集成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1"/>
              </w:rPr>
              <w:t>09  安全、权限与审计方案</w:t>
            </w:r>
          </w:p>
        </w:tc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1"/>
              </w:rPr>
              <w:t>10  部署与运维方案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1"/>
              </w:rPr>
              <w:t>11  项目实施计划</w:t>
            </w:r>
          </w:p>
        </w:tc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1"/>
              </w:rPr>
              <w:t>12  项目组织与协同机制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1"/>
              </w:rPr>
              <w:t>13  测试与验收方案</w:t>
            </w:r>
          </w:p>
        </w:tc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1"/>
              </w:rPr>
              <w:t>14  交付成果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1"/>
              </w:rPr>
              <w:t>15  项目边界与前提条件</w:t>
            </w:r>
          </w:p>
        </w:tc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1"/>
              </w:rPr>
              <w:t>16  主要风险与应对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1"/>
              </w:rPr>
              <w:t>17  后续扩展路线</w:t>
            </w:r>
          </w:p>
        </w:tc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1"/>
              </w:rPr>
              <w:t>18  预期建设价值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1"/>
              </w:rPr>
              <w:t>附录 A  建议一期功能清单</w:t>
            </w:r>
          </w:p>
        </w:tc>
        <w:tc>
          <w:tcPr>
            <w:tcW w:type="dxa" w:w="468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1"/>
              </w:rPr>
              <w:t>附录 B  建议接口分组</w:t>
            </w:r>
          </w:p>
        </w:tc>
      </w:tr>
    </w:tbl>
    <w:p>
      <w:pPr>
        <w:spacing w:after="40"/>
      </w:pPr>
    </w:p>
    <w:p>
      <w:pPr>
        <w:spacing w:before="160"/>
      </w:pPr>
      <w:r>
        <w:rPr>
          <w:rFonts w:ascii="Arial Unicode MS" w:hAnsi="Arial Unicode MS" w:eastAsia="Arial Unicode MS"/>
          <w:color w:val="687B84"/>
          <w:sz w:val="17"/>
        </w:rPr>
        <w:t>说明：本目录采用固定章节结构，确保在不同 Office 与国产办公环境中稳定呈现。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1. 执行摘要</w:t>
      </w:r>
    </w:p>
    <w:p>
      <w:pPr>
        <w:spacing w:before="80" w:after="200" w:line="288" w:lineRule="auto"/>
        <w:ind w:left="187" w:right="115"/>
        <w:shd w:fill="EAF2F7"/>
        <w:pBdr>
          <w:left w:val="single" w:sz="18" w:color="1F4D78" w:space="6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方案定位  </w:t>
      </w:r>
      <w:r>
        <w:rPr>
          <w:rFonts w:ascii="Arial Unicode MS" w:hAnsi="Arial Unicode MS" w:eastAsia="Arial Unicode MS"/>
          <w:color w:val="243B47"/>
          <w:sz w:val="21"/>
        </w:rPr>
        <w:t>本项目拟建设一套面向炼化企业的 QHSE 风险联动平台，统一承载风险、隐患、作业许可、监测预警、应急预案、资源调度、事件闭环与复盘分析，实现“一个平台汇聚态势、一套机制驱动闭环、一条证据链支撑审计”。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现有系统已形成较完整的前端业务原型，具备综合驾驶舱、GDS/VOC/MES 监测、风险分级、隐患治理、作业许可、预警规则、融合通信、应急指挥、预案、资源、事件闭环、事件复盘和展示大屏等能力，可用于业务验证与交互演示。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正式项目建设将在现有原型基础上，重点补齐后端服务、数据库持久化、组织权限、审批待办、文件证据、审计日志、实时数据接入、中间件、系统安全、运维监控和生产部署能力，使系统从“可演示原型”演进为“可持续运行、可审计、可集成、可扩展”的企业级平台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面向管理层：形成统一风险态势、重点事项、闭环效率和应急保障视图。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面向业务部门：统一风险辨识、隐患整改、票证审批、预案演练与事件复盘流程。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面向值守人员：聚合 GDS、VOC、MES 等多源信号，减少信息割裂并缩短研判链路。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面向信息化部门：采用标准接口、模块化后端和统一数据模型，降低后续系统集成与运维成本。</w:t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2. 项目背景与建设目标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2.1 建设背景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炼化企业安全生产具有装置连续运行、危险介质集中、作业类型复杂、监测系统众多和应急协同要求高等特点。传统管理模式中，风险台账、隐患整改、作业票、监测告警、应急资源与事故复盘往往分散在不同系统或线下表单中，容易出现数据口径不一致、预警证据分散、审批链路不可追踪以及管理指标难以实时获取等问题。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本方案以现有业务原型为基础，建立统一的数据、流程、权限与审计底座，打通风险对象、监测点位、作业活动、告警事件、应急预案、资源和整改任务之间的关联关系。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2.2 总体目标</w:t>
      </w:r>
    </w:p>
    <w:p>
      <w:pPr>
        <w:numPr>
          <w:ilvl w:val="0"/>
          <w:numId w:val="72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建设统一 QHSE 管理入口，实现多部门、多层级和多角色协同。</w:t>
      </w:r>
    </w:p>
    <w:p>
      <w:pPr>
        <w:numPr>
          <w:ilvl w:val="0"/>
          <w:numId w:val="72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建立风险、隐患、作业、预警、应急和复盘的全过程业务闭环。</w:t>
      </w:r>
    </w:p>
    <w:p>
      <w:pPr>
        <w:numPr>
          <w:ilvl w:val="0"/>
          <w:numId w:val="72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汇聚 GDS、VOC、MES 等数据，形成多源关联研判与分级预警能力。</w:t>
      </w:r>
    </w:p>
    <w:p>
      <w:pPr>
        <w:numPr>
          <w:ilvl w:val="0"/>
          <w:numId w:val="72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建立基于组织、岗位、角色和数据范围的权限体系，确保数据可控。</w:t>
      </w:r>
    </w:p>
    <w:p>
      <w:pPr>
        <w:numPr>
          <w:ilvl w:val="0"/>
          <w:numId w:val="72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建立附件证据、电子签署、操作日志和版本记录，满足审计追溯要求。</w:t>
      </w:r>
    </w:p>
    <w:p>
      <w:pPr>
        <w:numPr>
          <w:ilvl w:val="0"/>
          <w:numId w:val="72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形成标准化接口与模块化技术架构，为后续质量、职业健康和环境管理扩展预留空间。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2.3 建设原则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20"/>
              </w:rPr>
              <w:t>原则</w:t>
            </w:r>
          </w:p>
        </w:tc>
        <w:tc>
          <w:tcPr>
            <w:tcW w:type="dxa" w:w="756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0"/>
              </w:rPr>
              <w:t>业务牵引</w:t>
            </w:r>
          </w:p>
        </w:tc>
        <w:tc>
          <w:tcPr>
            <w:tcW w:type="dxa" w:w="7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0"/>
              </w:rPr>
              <w:t>围绕甲方制度和岗位职责设计流程，技术不替代业务规则确认。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0"/>
              </w:rPr>
              <w:t>闭环优先</w:t>
            </w:r>
          </w:p>
        </w:tc>
        <w:tc>
          <w:tcPr>
            <w:tcW w:type="dxa" w:w="7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0"/>
              </w:rPr>
              <w:t>优先建设可验证的端到端业务闭环，避免只建设展示页面。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0"/>
              </w:rPr>
              <w:t>数据统一</w:t>
            </w:r>
          </w:p>
        </w:tc>
        <w:tc>
          <w:tcPr>
            <w:tcW w:type="dxa" w:w="7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0"/>
              </w:rPr>
              <w:t>统一组织、区域、设备、人员、风险等级和业务编码口径。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0"/>
              </w:rPr>
              <w:t>安全可控</w:t>
            </w:r>
          </w:p>
        </w:tc>
        <w:tc>
          <w:tcPr>
            <w:tcW w:type="dxa" w:w="7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0"/>
              </w:rPr>
              <w:t>落实身份、权限、审计、加密、备份和最小授权原则。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0"/>
              </w:rPr>
              <w:t>分步实施</w:t>
            </w:r>
          </w:p>
        </w:tc>
        <w:tc>
          <w:tcPr>
            <w:tcW w:type="dxa" w:w="7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0"/>
              </w:rPr>
              <w:t>采用模块化单体和分阶段接入策略，降低一次性切换风险。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20"/>
              </w:rPr>
              <w:t>持续演进</w:t>
            </w:r>
          </w:p>
        </w:tc>
        <w:tc>
          <w:tcPr>
            <w:tcW w:type="dxa" w:w="7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20"/>
              </w:rPr>
              <w:t>通过标准 API、事件接口和可扩展模型支撑后续 Q/H/E 能力建设。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3. 现状评估与建设范围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3.1 现有原型能力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现有系统已经具备以下功能原型，可作为需求澄清、界面设计和业务流程验证基础：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综合驾驶舱与独立展示大屏：企业风险态势、告警队列、趋势、闭环指标和区域地图。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监测中心：GDS 气体监测、VOC 排放监测、MES 工艺参数关联和联合预警演示。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风险分级管控：风险单元树、LEC 评估、动态风险因子、措施责任维护和对象关联。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隐患排查治理：上报、整改、证据、验收、挂牌督办和操作轨迹。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作业许可：五类票证申请、三级审批、双人现场确认和 GDS 告警联动。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预警与规则：告警列表、详情证据、确认处置、规则表达式、双人会签、版本回滚和灰度范围。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应急管理：融合通信、预案版本、双人会签、演练计划、资源调拨、应急任务和事件生命周期。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复盘归档：事件时间线、原因分析、整改措施和关闭归档。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3.2 原型与正式系统差异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900"/>
        <w:gridCol w:w="4960"/>
      </w:tblGrid>
      <w:tr>
        <w:trPr>
          <w:tblHeader w:val="true"/>
        </w:trPr>
        <w:tc>
          <w:tcPr>
            <w:tcW w:type="dxa" w:w="150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领域</w:t>
            </w:r>
          </w:p>
        </w:tc>
        <w:tc>
          <w:tcPr>
            <w:tcW w:type="dxa" w:w="290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现有原型</w:t>
            </w:r>
          </w:p>
        </w:tc>
        <w:tc>
          <w:tcPr>
            <w:tcW w:type="dxa" w:w="496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正式建设目标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数据存储</w:t>
            </w:r>
          </w:p>
        </w:tc>
        <w:tc>
          <w:tcPr>
            <w:tcW w:type="dxa" w:w="2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Mock 数据与浏览器本地状态</w:t>
            </w:r>
          </w:p>
        </w:tc>
        <w:tc>
          <w:tcPr>
            <w:tcW w:type="dxa" w:w="4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PostgreSQL 持久化、迁移、事务、备份和并发控制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身份权限</w:t>
            </w:r>
          </w:p>
        </w:tc>
        <w:tc>
          <w:tcPr>
            <w:tcW w:type="dxa" w:w="2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Mock 登录及基础管理入口</w:t>
            </w:r>
          </w:p>
        </w:tc>
        <w:tc>
          <w:tcPr>
            <w:tcW w:type="dxa" w:w="4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组织、用户、岗位、角色、菜单/按钮/API/数据范围权限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审批流程</w:t>
            </w:r>
          </w:p>
        </w:tc>
        <w:tc>
          <w:tcPr>
            <w:tcW w:type="dxa" w:w="2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前端状态切换与模拟签署</w:t>
            </w:r>
          </w:p>
        </w:tc>
        <w:tc>
          <w:tcPr>
            <w:tcW w:type="dxa" w:w="4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服务端审批任务、待办、意见、退回、催办、签名与审计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附件证据</w:t>
            </w:r>
          </w:p>
        </w:tc>
        <w:tc>
          <w:tcPr>
            <w:tcW w:type="dxa" w:w="2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记录文件名称与元数据</w:t>
            </w:r>
          </w:p>
        </w:tc>
        <w:tc>
          <w:tcPr>
            <w:tcW w:type="dxa" w:w="4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MinIO/S3 文件存储、预览、哈希、权限、版本和归档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监测接入</w:t>
            </w:r>
          </w:p>
        </w:tc>
        <w:tc>
          <w:tcPr>
            <w:tcW w:type="dxa" w:w="2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静态数据与模拟场景</w:t>
            </w:r>
          </w:p>
        </w:tc>
        <w:tc>
          <w:tcPr>
            <w:tcW w:type="dxa" w:w="4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GDS/VOC/MES 实时接口、MQTT/WebSocket、质量校验和断线恢复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通信能力</w:t>
            </w:r>
          </w:p>
        </w:tc>
        <w:tc>
          <w:tcPr>
            <w:tcW w:type="dxa" w:w="2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模拟电话、短信、App 和广播</w:t>
            </w:r>
          </w:p>
        </w:tc>
        <w:tc>
          <w:tcPr>
            <w:tcW w:type="dxa" w:w="4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真实通道适配、回执、重试、模板、脱敏和供应商管理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运维保障</w:t>
            </w:r>
          </w:p>
        </w:tc>
        <w:tc>
          <w:tcPr>
            <w:tcW w:type="dxa" w:w="2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开发环境运行</w:t>
            </w:r>
          </w:p>
        </w:tc>
        <w:tc>
          <w:tcPr>
            <w:tcW w:type="dxa" w:w="4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多环境、健康检查、日志、指标、告警、备份、恢复和发布管理</w:t>
            </w:r>
          </w:p>
        </w:tc>
      </w:tr>
    </w:tbl>
    <w:p>
      <w:pPr>
        <w:spacing w:after="40"/>
      </w:pPr>
    </w:p>
    <w:p>
      <w:pPr>
        <w:spacing w:before="80" w:after="200" w:line="288" w:lineRule="auto"/>
        <w:ind w:left="187" w:right="115"/>
        <w:shd w:fill="FFF7E6"/>
        <w:pBdr>
          <w:left w:val="single" w:sz="18" w:color="A66B0B" w:space="6"/>
        </w:pBdr>
      </w:pPr>
      <w:r>
        <w:rPr>
          <w:rFonts w:ascii="Arial Unicode MS" w:hAnsi="Arial Unicode MS" w:eastAsia="Arial Unicode MS"/>
          <w:b/>
          <w:color w:val="A66B0B"/>
          <w:sz w:val="21"/>
        </w:rPr>
        <w:t xml:space="preserve">范围说明  </w:t>
      </w:r>
      <w:r>
        <w:rPr>
          <w:rFonts w:ascii="Arial Unicode MS" w:hAnsi="Arial Unicode MS" w:eastAsia="Arial Unicode MS"/>
          <w:color w:val="243B47"/>
          <w:sz w:val="21"/>
        </w:rPr>
        <w:t>一期建议聚焦现有安全、环境监测与应急业务闭环；质量管理和职业健康管理作为扩展能力纳入后续建设路线，具体以甲方立项范围为准。</w:t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4. 总体业务架构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平台按照“态势感知—风险预控—过程管控—预警协同—应急处置—调查复盘—持续改进”组织业务能力，并以组织权限、流程待办、文件证据、审计日志、消息通知和主数据作为公共支撑。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vAlign w:val="center"/>
            <w:shd w:fill="EAF2F7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架构层</w:t>
            </w:r>
          </w:p>
        </w:tc>
        <w:tc>
          <w:tcPr>
            <w:tcW w:type="dxa" w:w="3600"/>
            <w:vAlign w:val="center"/>
            <w:shd w:fill="EAF2F7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组成</w:t>
            </w:r>
          </w:p>
        </w:tc>
        <w:tc>
          <w:tcPr>
            <w:tcW w:type="dxa" w:w="4060"/>
            <w:vAlign w:val="center"/>
            <w:shd w:fill="EAF2F7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核心职责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决策展示层</w:t>
            </w:r>
          </w:p>
        </w:tc>
        <w:tc>
          <w:tcPr>
            <w:tcW w:type="dxa" w:w="3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综合驾驶舱、专题分析、大屏、移动端摘要</w:t>
            </w:r>
          </w:p>
        </w:tc>
        <w:tc>
          <w:tcPr>
            <w:tcW w:type="dxa" w:w="40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向管理层展示统一态势、重点风险和闭环成效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业务应用层</w:t>
            </w:r>
          </w:p>
        </w:tc>
        <w:tc>
          <w:tcPr>
            <w:tcW w:type="dxa" w:w="3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风险、隐患、作业许可、规则、预案、资源、事件、复盘</w:t>
            </w:r>
          </w:p>
        </w:tc>
        <w:tc>
          <w:tcPr>
            <w:tcW w:type="dxa" w:w="40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承载日常 QHSE 管理流程和协同任务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联动处置层</w:t>
            </w:r>
          </w:p>
        </w:tc>
        <w:tc>
          <w:tcPr>
            <w:tcW w:type="dxa" w:w="3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预警中心、融合通信、应急指挥、任务调度</w:t>
            </w:r>
          </w:p>
        </w:tc>
        <w:tc>
          <w:tcPr>
            <w:tcW w:type="dxa" w:w="40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将多源异常转化为可执行的处置动作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平台支撑层</w:t>
            </w:r>
          </w:p>
        </w:tc>
        <w:tc>
          <w:tcPr>
            <w:tcW w:type="dxa" w:w="3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组织权限、流程待办、文件、审计、字典、消息</w:t>
            </w:r>
          </w:p>
        </w:tc>
        <w:tc>
          <w:tcPr>
            <w:tcW w:type="dxa" w:w="40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提供跨业务模块一致的公共能力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数据集成层</w:t>
            </w:r>
          </w:p>
        </w:tc>
        <w:tc>
          <w:tcPr>
            <w:tcW w:type="dxa" w:w="3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GDS、VOC、MES/DCS、GIS、视频、定位、ERP/EAM</w:t>
            </w:r>
          </w:p>
        </w:tc>
        <w:tc>
          <w:tcPr>
            <w:tcW w:type="dxa" w:w="40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统一数据接入、编码映射和质量监控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5. 业务功能解决方案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5.1 综合驾驶舱与展示大屏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综合驾驶舱面向 QHSE 管理人员和生产管理层，汇总企业总体风险、装置风险分布、活动告警、高风险作业、隐患闭环、应急资源和通信送达情况。展示大屏面向值守中心和会议汇报，支持全屏、自适应和实时刷新。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支持企业、分厂、装置、区域等多层级下钻。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支持按时间、组织、风险等级、事件类型筛选。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指标统一由服务端计算，避免页面硬编码和口径不一致。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重大告警、超期隐患、审批超时和资源不足以醒目标识呈现。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大屏通过 WebSocket/SSE 接收增量数据，并具备断线重连与自动恢复能力。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5.2 GDS、VOC 与 MES 监测中心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监测中心统一呈现固定式气体探测器、VOC 排口和厂界点、治理设施运行状态以及 MES 关键工艺参数。系统保留原始值、标准化值、采集时间、设备状态和数据质量标识，为后续预警研判提供可信证据。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测点台账、设备在线状态、标定和维护信息。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实时值、历史趋势、阈值线、异常区间和离线诊断。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按照区域、设备和时间窗口关联 GDS、VOC 与 MES 信号。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支持接口重试、重复数据过滤、时钟偏差检查和异常数据隔离。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保留数据来源与接收时间，满足事件证据追溯需要。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5.3 风险分级管控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建立组织—区域—装置—风险单元的层级风险台账，通过 LEC 等甲方确认的方法开展评估，并结合监测异常、隐患、作业活动和应急状态动态调整当前风险。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风险单元、危险源、介质、设备、责任部门和责任人管理。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固有风险、当前风险、评估记录和风险等级历史。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管控措施、责任人、验证状态、失效原因和更新时间。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关联 GDS/VOC/MES、隐患、票证、预案和事件。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重大风险清单、措施完整性检查和分级上报。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5.4 隐患排查治理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隐患治理按照“发现上报—责任派发—整改实施—证据提交—验收关闭—统计复盘”运行。系统通过状态机约束流程，关键动作由服务端校验，禁止通过普通编辑直接跳转状态。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支持现场检查、预警转化、专项检查和事件复盘等来源。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支持整改前、整改过程、整改完成证据上传与哈希固化。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提交验收前必须满足证据完整性要求。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支持重大隐患挂牌督办、到期提醒、逾期催办和升级通知。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支持重复隐患、区域分布、责任部门和闭环时效分析。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5.5 作业许可管理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作业许可覆盖动火、受限空间、高处、吊装、临时用电，并可扩展盲板抽堵、动土和断路等票证。系统将票证申请、风险分析、安全措施、气体检测、审批、现场确认、作业执行和关闭归档形成统一闭环。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属地、QHSE、生产负责人等顺序审批及审批待办。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作业负责人和现场监护人双人确认，两人身份不得重复。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关联作业区域 GDS 测点、相对距离和实时告警。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告警触发暂停，复测合格并审批后恢复。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支持延期、续签、交接班、撤销、强制终止和二维码查验。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5.6 预警规则与告警中心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规则管理采用草稿、会签、发布、启停、版本和回滚机制。规则执行引擎根据指标、阈值、时间窗口、持续时长、空间范围和多信号组合生成告警，并提供去重、合并、静默和升级能力。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可视化表达式、指标白名单、运算符校验和冲突检测。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QHSE 与生产负责人双人会签，发布后才参与运行。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告警详情聚合监测、工艺、票证和关联人员证据。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支持确认、误报标记、证据核验、预案启动和关闭。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关键动作写入时间线和审计日志。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5.7 融合通信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融合通信统一承载 App、电话语音、短信和 IP 广播，按照事件等级和超时策略逐级通知岗位人员、班长、装置负责人、生产调度和应急指挥人员。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通信录、值班表、通知模板和通道健康管理。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送达、接听、确认、失败、重试和升级全过程记录。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对接供应商通道并保留原始回执。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号码脱敏、接口鉴权、失败重试和人工补发。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通信记录与告警、应急事件和审计日志关联。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5.8 应急预案、演练和资源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应急预案管理覆盖编制、草稿、双人会签、发布、版本、内容差异、回滚和到期提醒；演练管理覆盖计划、执行、评分、问题和复盘归档；资源管理覆盖入库、库存、巡检、调拨、到位、归还和维修。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按事件类型、区域、介质、响应等级和触发规则匹配预案。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定期生成演练计划，演练发现问题可转化为隐患。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资源按类型、库位、批次、有效期和检查周期管理。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调拨使用数据库事务和乐观锁，防止超额占用。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资源调拨状态与应急指挥台实时同步。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5.9 应急指挥与事件生命周期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应急指挥台围绕事件态势、响应等级、指挥体系、任务、资源、人员清点和现场影响范围开展协同。事件生命周期按照待研判、响应中、监控中、待关闭、已关闭进行约束。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支持研判启动、响应升级、响应降级、终止响应、申请关闭和审批关闭。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支持任务派发、开始、反馈、完成和超时提醒。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支持现场照片、监测报告、处置记录和审批材料归档。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关闭审批设置证据门槛、审批时限、催办、意见和签名。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所有状态变化、操作人、时间和说明形成不可缺失的操作链。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5.10 事件调查复盘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事件结束后形成调查复盘档案，记录事件摘要、直接原因、根本原因、经验教训、时间线、响应指标和整改措施。整改措施全部完成并满足关闭条件后，复盘报告归档。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 5Why、鱼骨图或甲方指定的原因分析方法。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整改措施明确部门、责任人、优先级和截止时间。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整改证据与隐患治理、风险措施和制度修订联动。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支持生成可下载的事件复盘报告。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6. 核心业务闭环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000"/>
        <w:gridCol w:w="2700"/>
        <w:gridCol w:w="2060"/>
      </w:tblGrid>
      <w:tr>
        <w:trPr>
          <w:tblHeader w:val="true"/>
        </w:trPr>
        <w:tc>
          <w:tcPr>
            <w:tcW w:type="dxa" w:w="1600"/>
            <w:vAlign w:val="center"/>
            <w:shd w:fill="EDF7F3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闭环</w:t>
            </w:r>
          </w:p>
        </w:tc>
        <w:tc>
          <w:tcPr>
            <w:tcW w:type="dxa" w:w="3000"/>
            <w:vAlign w:val="center"/>
            <w:shd w:fill="EDF7F3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主要流程</w:t>
            </w:r>
          </w:p>
        </w:tc>
        <w:tc>
          <w:tcPr>
            <w:tcW w:type="dxa" w:w="2700"/>
            <w:vAlign w:val="center"/>
            <w:shd w:fill="EDF7F3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关键证据</w:t>
            </w:r>
          </w:p>
        </w:tc>
        <w:tc>
          <w:tcPr>
            <w:tcW w:type="dxa" w:w="2060"/>
            <w:vAlign w:val="center"/>
            <w:shd w:fill="EDF7F3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管理关注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风险预控闭环</w:t>
            </w:r>
          </w:p>
        </w:tc>
        <w:tc>
          <w:tcPr>
            <w:tcW w:type="dxa" w:w="30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辨识→评估→分级→措施→验证→动态调整</w:t>
            </w:r>
          </w:p>
        </w:tc>
        <w:tc>
          <w:tcPr>
            <w:tcW w:type="dxa" w:w="2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风险台账、评估记录、措施记录</w:t>
            </w:r>
          </w:p>
        </w:tc>
        <w:tc>
          <w:tcPr>
            <w:tcW w:type="dxa" w:w="20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重大风险和措施有效性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隐患治理闭环</w:t>
            </w:r>
          </w:p>
        </w:tc>
        <w:tc>
          <w:tcPr>
            <w:tcW w:type="dxa" w:w="30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上报→派发→整改→证据→验收→关闭</w:t>
            </w:r>
          </w:p>
        </w:tc>
        <w:tc>
          <w:tcPr>
            <w:tcW w:type="dxa" w:w="2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整改照片、验收意见、轨迹</w:t>
            </w:r>
          </w:p>
        </w:tc>
        <w:tc>
          <w:tcPr>
            <w:tcW w:type="dxa" w:w="20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闭环率、逾期率、重复隐患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作业许可闭环</w:t>
            </w:r>
          </w:p>
        </w:tc>
        <w:tc>
          <w:tcPr>
            <w:tcW w:type="dxa" w:w="30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申请→审批→现场确认→作业→暂停/恢复→关闭</w:t>
            </w:r>
          </w:p>
        </w:tc>
        <w:tc>
          <w:tcPr>
            <w:tcW w:type="dxa" w:w="2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票证、检测、签署、联动记录</w:t>
            </w:r>
          </w:p>
        </w:tc>
        <w:tc>
          <w:tcPr>
            <w:tcW w:type="dxa" w:w="20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在办票证、高风险作业、超期票证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预警处置闭环</w:t>
            </w:r>
          </w:p>
        </w:tc>
        <w:tc>
          <w:tcPr>
            <w:tcW w:type="dxa" w:w="30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规则命中→证据聚合→确认→通知→预案→处置</w:t>
            </w:r>
          </w:p>
        </w:tc>
        <w:tc>
          <w:tcPr>
            <w:tcW w:type="dxa" w:w="2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监测趋势、工艺、票证、人员回执</w:t>
            </w:r>
          </w:p>
        </w:tc>
        <w:tc>
          <w:tcPr>
            <w:tcW w:type="dxa" w:w="20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确认时效、误报率、处置进度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应急事件闭环</w:t>
            </w:r>
          </w:p>
        </w:tc>
        <w:tc>
          <w:tcPr>
            <w:tcW w:type="dxa" w:w="30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研判→响应→任务/资源→监控→申请关闭→审批</w:t>
            </w:r>
          </w:p>
        </w:tc>
        <w:tc>
          <w:tcPr>
            <w:tcW w:type="dxa" w:w="2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任务、调拨、附件、签名、日志</w:t>
            </w:r>
          </w:p>
        </w:tc>
        <w:tc>
          <w:tcPr>
            <w:tcW w:type="dxa" w:w="20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响应时效、任务完成率、资源到位率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复盘改进闭环</w:t>
            </w:r>
          </w:p>
        </w:tc>
        <w:tc>
          <w:tcPr>
            <w:tcW w:type="dxa" w:w="30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调查→原因→措施→整改→验证→知识归档</w:t>
            </w:r>
          </w:p>
        </w:tc>
        <w:tc>
          <w:tcPr>
            <w:tcW w:type="dxa" w:w="2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复盘报告、整改证据、经验反馈</w:t>
            </w:r>
          </w:p>
        </w:tc>
        <w:tc>
          <w:tcPr>
            <w:tcW w:type="dxa" w:w="20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整改完成率、同类事件复发情况</w:t>
            </w:r>
          </w:p>
        </w:tc>
      </w:tr>
    </w:tbl>
    <w:p>
      <w:pPr>
        <w:spacing w:after="40"/>
      </w:pPr>
    </w:p>
    <w:p>
      <w:pPr>
        <w:spacing w:before="80" w:after="200" w:line="288" w:lineRule="auto"/>
        <w:ind w:left="187" w:right="115"/>
        <w:shd w:fill="EDF7F3"/>
        <w:pBdr>
          <w:left w:val="single" w:sz="18" w:color="24765E" w:space="6"/>
        </w:pBdr>
      </w:pPr>
      <w:r>
        <w:rPr>
          <w:rFonts w:ascii="Arial Unicode MS" w:hAnsi="Arial Unicode MS" w:eastAsia="Arial Unicode MS"/>
          <w:b/>
          <w:color w:val="24765E"/>
          <w:sz w:val="21"/>
        </w:rPr>
        <w:t xml:space="preserve">关键控制  </w:t>
      </w:r>
      <w:r>
        <w:rPr>
          <w:rFonts w:ascii="Arial Unicode MS" w:hAnsi="Arial Unicode MS" w:eastAsia="Arial Unicode MS"/>
          <w:color w:val="243B47"/>
          <w:sz w:val="21"/>
        </w:rPr>
        <w:t>各闭环的状态转换、审批条件、证据门槛和数据权限由服务端统一控制；前端仅发起业务动作，不直接修改最终状态。</w:t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7. 技术架构方案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7.1 总体技术路线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正式系统建议采用前后端分离和模块化单体架构。前端保留现有 React/Umi 技术体系；后端采用 NestJS 与 TypeScript；PostgreSQL 保存正式业务数据；Redis 和 BullMQ 承载缓存、锁、催办、通知和定时任务；MinIO/S3 保存附件证据；WebSocket/SSE 支撑告警、审批、任务和大屏实时推送。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100"/>
        <w:gridCol w:w="4760"/>
      </w:tblGrid>
      <w:tr>
        <w:trPr>
          <w:tblHeader w:val="true"/>
        </w:trPr>
        <w:tc>
          <w:tcPr>
            <w:tcW w:type="dxa" w:w="150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层级</w:t>
            </w:r>
          </w:p>
        </w:tc>
        <w:tc>
          <w:tcPr>
            <w:tcW w:type="dxa" w:w="310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建议技术</w:t>
            </w:r>
          </w:p>
        </w:tc>
        <w:tc>
          <w:tcPr>
            <w:tcW w:type="dxa" w:w="476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用途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前端</w:t>
            </w:r>
          </w:p>
        </w:tc>
        <w:tc>
          <w:tcPr>
            <w:tcW w:type="dxa" w:w="31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React、Umi、Ant Design</w:t>
            </w:r>
          </w:p>
        </w:tc>
        <w:tc>
          <w:tcPr>
            <w:tcW w:type="dxa" w:w="47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管理端、大屏和交互展示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API 服务</w:t>
            </w:r>
          </w:p>
        </w:tc>
        <w:tc>
          <w:tcPr>
            <w:tcW w:type="dxa" w:w="31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NestJS、OpenAPI</w:t>
            </w:r>
          </w:p>
        </w:tc>
        <w:tc>
          <w:tcPr>
            <w:tcW w:type="dxa" w:w="47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业务接口、校验、权限、事务和审计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数据库</w:t>
            </w:r>
          </w:p>
        </w:tc>
        <w:tc>
          <w:tcPr>
            <w:tcW w:type="dxa" w:w="31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PostgreSQL、Prisma</w:t>
            </w:r>
          </w:p>
        </w:tc>
        <w:tc>
          <w:tcPr>
            <w:tcW w:type="dxa" w:w="47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主数据、业务数据、版本和操作轨迹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缓存与任务</w:t>
            </w:r>
          </w:p>
        </w:tc>
        <w:tc>
          <w:tcPr>
            <w:tcW w:type="dxa" w:w="31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Redis、BullMQ</w:t>
            </w:r>
          </w:p>
        </w:tc>
        <w:tc>
          <w:tcPr>
            <w:tcW w:type="dxa" w:w="47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缓存、幂等、短期锁、催办、重试和定时任务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文件存储</w:t>
            </w:r>
          </w:p>
        </w:tc>
        <w:tc>
          <w:tcPr>
            <w:tcW w:type="dxa" w:w="31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MinIO 或兼容 S3 的对象存储</w:t>
            </w:r>
          </w:p>
        </w:tc>
        <w:tc>
          <w:tcPr>
            <w:tcW w:type="dxa" w:w="47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附件、照片、报告、签名与哈希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实时通道</w:t>
            </w:r>
          </w:p>
        </w:tc>
        <w:tc>
          <w:tcPr>
            <w:tcW w:type="dxa" w:w="31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WebSocket/SSE、MQTT</w:t>
            </w:r>
          </w:p>
        </w:tc>
        <w:tc>
          <w:tcPr>
            <w:tcW w:type="dxa" w:w="47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页面推送与设备数据接入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部署运维</w:t>
            </w:r>
          </w:p>
        </w:tc>
        <w:tc>
          <w:tcPr>
            <w:tcW w:type="dxa" w:w="31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Nginx、容器、日志与监控平台</w:t>
            </w:r>
          </w:p>
        </w:tc>
        <w:tc>
          <w:tcPr>
            <w:tcW w:type="dxa" w:w="47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路由、安全、发布、观测和告警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7.2 后端模块划分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系统基础：组织、用户、角色、权限、字典、文件、审计、消息和待办。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核心业务：风险、隐患、作业许可、预警规则、告警事件。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应急业务：预案、演练、资源、融合通信、应急事件、调查复盘。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集成业务：监测接入、设备映射、实时推送、驾驶舱聚合。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首期不建议拆分微服务或引入通用 BPMN 设计器。模块化单体可以降低部署与联调复杂度，并通过清晰模块边界为后续独立扩容保留条件。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7.3 数据库与中间件使用原则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PostgreSQL 是唯一业务事实源，票证状态、审批结果、库存和证据关系必须持久化。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Redis 仅保存短期缓存、幂等键和短期锁，不作为业务状态唯一存储。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BullMQ 处理短信重试、审批催办、到期扫描和报表生成，业务事务不依赖消息立即成功。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MinIO/S3 保存二进制文件，数据库保存文件元数据、对象键、哈希和业务关联。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库存占用、审批发布和状态切换使用数据库事务与乐观锁。</w:t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8. 数据架构与系统集成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8.1 主数据体系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平台需要统一组织、部门、岗位、用户、区域、装置、设备、测点、介质、风险等级、业务编码和通知对象等主数据。主数据来源由甲方确认，可由本平台维护，也可与 HR、ERP、EAM 或统一身份平台同步。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8.2 集成范围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600"/>
        <w:gridCol w:w="1900"/>
        <w:gridCol w:w="3360"/>
      </w:tblGrid>
      <w:tr>
        <w:trPr>
          <w:tblHeader w:val="true"/>
        </w:trPr>
        <w:tc>
          <w:tcPr>
            <w:tcW w:type="dxa" w:w="150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系统</w:t>
            </w:r>
          </w:p>
        </w:tc>
        <w:tc>
          <w:tcPr>
            <w:tcW w:type="dxa" w:w="260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主要数据</w:t>
            </w:r>
          </w:p>
        </w:tc>
        <w:tc>
          <w:tcPr>
            <w:tcW w:type="dxa" w:w="190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建议方式</w:t>
            </w:r>
          </w:p>
        </w:tc>
        <w:tc>
          <w:tcPr>
            <w:tcW w:type="dxa" w:w="336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实施关注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GDS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测点、实时值、报警、设备状态</w:t>
            </w:r>
          </w:p>
        </w:tc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MQTT/HTTP/消息接口</w:t>
            </w:r>
          </w:p>
        </w:tc>
        <w:tc>
          <w:tcPr>
            <w:tcW w:type="dxa" w:w="33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测点编码、采样频率、时间同步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VOC/CEMS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排口、厂界、治理设施、超限</w:t>
            </w:r>
          </w:p>
        </w:tc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HTTP/数据库/文件接口</w:t>
            </w:r>
          </w:p>
        </w:tc>
        <w:tc>
          <w:tcPr>
            <w:tcW w:type="dxa" w:w="33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单位、限值、缺失值和校验规则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MES/DCS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压力、温度、流量、液位、负荷</w:t>
            </w:r>
          </w:p>
        </w:tc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API/消息/中间库</w:t>
            </w:r>
          </w:p>
        </w:tc>
        <w:tc>
          <w:tcPr>
            <w:tcW w:type="dxa" w:w="33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标签映射、采样窗口和读写边界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HR/统一身份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组织、人员、岗位、账号状态</w:t>
            </w:r>
          </w:p>
        </w:tc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LDAP/OIDC/API</w:t>
            </w:r>
          </w:p>
        </w:tc>
        <w:tc>
          <w:tcPr>
            <w:tcW w:type="dxa" w:w="33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身份唯一标识与离职停用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ERP/EAM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设备、物料、库存、维修工单</w:t>
            </w:r>
          </w:p>
        </w:tc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API/中间表</w:t>
            </w:r>
          </w:p>
        </w:tc>
        <w:tc>
          <w:tcPr>
            <w:tcW w:type="dxa" w:w="33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主数据权威来源和同步方向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GIS/人员定位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空间位置、围栏、人员轨迹</w:t>
            </w:r>
          </w:p>
        </w:tc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SDK/API/WebSocket</w:t>
            </w:r>
          </w:p>
        </w:tc>
        <w:tc>
          <w:tcPr>
            <w:tcW w:type="dxa" w:w="33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坐标系、精度、授权和留存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短信/电话/App/广播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通知、回执、确认</w:t>
            </w:r>
          </w:p>
        </w:tc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供应商 API</w:t>
            </w:r>
          </w:p>
        </w:tc>
        <w:tc>
          <w:tcPr>
            <w:tcW w:type="dxa" w:w="33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资费、模板报备、失败重试和脱敏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视频平台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摄像头、预览地址、事件快照</w:t>
            </w:r>
          </w:p>
        </w:tc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国标/厂商 SDK/API</w:t>
            </w:r>
          </w:p>
        </w:tc>
        <w:tc>
          <w:tcPr>
            <w:tcW w:type="dxa" w:w="33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网络区域、授权与录像留存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8.3 数据治理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建立数据目录、字段定义、来源系统、责任部门和更新频率。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建立编码映射、单位换算、数据完整性和时间一致性规则。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对迟到、重复、异常和离线数据进行标识，不直接覆盖原始记录。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核心指标形成统一口径，并经甲方业务部门确认后上线。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数据留存、归档和销毁策略与甲方制度及现行法规保持一致。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9. 安全、权限与审计方案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800"/>
        <w:gridCol w:w="2960"/>
      </w:tblGrid>
      <w:tr>
        <w:trPr>
          <w:tblHeader w:val="true"/>
        </w:trPr>
        <w:tc>
          <w:tcPr>
            <w:tcW w:type="dxa" w:w="1600"/>
            <w:vAlign w:val="center"/>
            <w:shd w:fill="FFF1EF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安全域</w:t>
            </w:r>
          </w:p>
        </w:tc>
        <w:tc>
          <w:tcPr>
            <w:tcW w:type="dxa" w:w="4800"/>
            <w:vAlign w:val="center"/>
            <w:shd w:fill="FFF1EF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主要措施</w:t>
            </w:r>
          </w:p>
        </w:tc>
        <w:tc>
          <w:tcPr>
            <w:tcW w:type="dxa" w:w="2960"/>
            <w:vAlign w:val="center"/>
            <w:shd w:fill="FFF1EF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目标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身份安全</w:t>
            </w:r>
          </w:p>
        </w:tc>
        <w:tc>
          <w:tcPr>
            <w:tcW w:type="dxa" w:w="4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统一登录、密码策略、Token 过期、可选 MFA/OIDC</w:t>
            </w:r>
          </w:p>
        </w:tc>
        <w:tc>
          <w:tcPr>
            <w:tcW w:type="dxa" w:w="2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防止账号冒用与会话失控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访问控制</w:t>
            </w:r>
          </w:p>
        </w:tc>
        <w:tc>
          <w:tcPr>
            <w:tcW w:type="dxa" w:w="4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角色权限、菜单/按钮/API 权限、组织/部门/本人数据范围</w:t>
            </w:r>
          </w:p>
        </w:tc>
        <w:tc>
          <w:tcPr>
            <w:tcW w:type="dxa" w:w="2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落实最小授权和职责分离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业务控制</w:t>
            </w:r>
          </w:p>
        </w:tc>
        <w:tc>
          <w:tcPr>
            <w:tcW w:type="dxa" w:w="4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状态机、审批顺序、双人确认、重复提交幂等</w:t>
            </w:r>
          </w:p>
        </w:tc>
        <w:tc>
          <w:tcPr>
            <w:tcW w:type="dxa" w:w="2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防止绕过流程和重复执行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数据安全</w:t>
            </w:r>
          </w:p>
        </w:tc>
        <w:tc>
          <w:tcPr>
            <w:tcW w:type="dxa" w:w="4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传输加密、敏感字段脱敏、备份加密、文件访问授权</w:t>
            </w:r>
          </w:p>
        </w:tc>
        <w:tc>
          <w:tcPr>
            <w:tcW w:type="dxa" w:w="2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保护人员、通信和业务数据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接口安全</w:t>
            </w:r>
          </w:p>
        </w:tc>
        <w:tc>
          <w:tcPr>
            <w:tcW w:type="dxa" w:w="4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签名、令牌、白名单、限流、重放防护</w:t>
            </w:r>
          </w:p>
        </w:tc>
        <w:tc>
          <w:tcPr>
            <w:tcW w:type="dxa" w:w="2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保护外部接口和设备数据入口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审计追溯</w:t>
            </w:r>
          </w:p>
        </w:tc>
        <w:tc>
          <w:tcPr>
            <w:tcW w:type="dxa" w:w="4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登录、操作、审批、文件、接口和异常日志</w:t>
            </w:r>
          </w:p>
        </w:tc>
        <w:tc>
          <w:tcPr>
            <w:tcW w:type="dxa" w:w="2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支持责任追溯和审计取证</w:t>
            </w:r>
          </w:p>
        </w:tc>
      </w:tr>
      <w:tr>
        <w:trPr/>
        <w:tc>
          <w:tcPr>
            <w:tcW w:type="dxa" w:w="1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运维安全</w:t>
            </w:r>
          </w:p>
        </w:tc>
        <w:tc>
          <w:tcPr>
            <w:tcW w:type="dxa" w:w="4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环境隔离、密钥托管、漏洞扫描、补丁与发布审批</w:t>
            </w:r>
          </w:p>
        </w:tc>
        <w:tc>
          <w:tcPr>
            <w:tcW w:type="dxa" w:w="29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降低配置泄露和供应链风险</w:t>
            </w:r>
          </w:p>
        </w:tc>
      </w:tr>
    </w:tbl>
    <w:p>
      <w:pPr>
        <w:spacing w:after="40"/>
      </w:pP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涉及 CA 电子签名、等保测评、密码应用、数据跨域或生产控制网接入时，应由甲方安全、法务和信息化部门明确等级与边界，并在详细设计阶段形成专项方案。</w:t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10. 部署与运维方案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10.1 环境规划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开发环境：供研发和单元测试使用，不连接生产数据。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测试环境：用于接口联调、业务验收和性能测试，数据脱敏。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生产环境：按照甲方网络分区、安全和高可用要求部署。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可选灾备环境：根据 RPO/RTO 目标建设异地备份或灾备能力。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10.2 可观测性与运行保障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应用日志、访问日志、业务审计和外部接口日志分类保存。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监控 API 响应时间、错误率、数据库连接、慢查询、Redis、队列积压和对象存储。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建立服务健康检查、告警通知、故障升级和恢复验证机制。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制定数据库备份、文件备份、恢复演练和迁移回滚方案。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发布采用版本化制品、变更审批和可回退策略。</w:t>
      </w:r>
    </w:p>
    <w:p>
      <w:pPr>
        <w:spacing w:before="80" w:after="200" w:line="288" w:lineRule="auto"/>
        <w:ind w:left="187" w:right="115"/>
        <w:shd w:fill="EAF2F7"/>
        <w:pBdr>
          <w:left w:val="single" w:sz="18" w:color="1F4D78" w:space="6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部署建议  </w:t>
      </w:r>
      <w:r>
        <w:rPr>
          <w:rFonts w:ascii="Arial Unicode MS" w:hAnsi="Arial Unicode MS" w:eastAsia="Arial Unicode MS"/>
          <w:color w:val="243B47"/>
          <w:sz w:val="21"/>
        </w:rPr>
        <w:t>项目初期采用容器化部署和模块化单体即可满足多数企业场景；是否采用高可用数据库、Redis 集群、对象存储集群或 Kubernetes，应根据并发规模、可用性目标和甲方基础设施条件确定。</w:t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11. 项目实施计划</w:t>
      </w: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建议采用两周一个迭代的方式推进，以需求基线、核心闭环、接口联调和试点运行为里程碑。以下为基准计划，实际周期需结合甲方流程差异、接口条件、数据质量和实施团队规模确认。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0"/>
        <w:gridCol w:w="1550"/>
        <w:gridCol w:w="900"/>
        <w:gridCol w:w="3300"/>
        <w:gridCol w:w="2560"/>
      </w:tblGrid>
      <w:tr>
        <w:trPr>
          <w:tblHeader w:val="true"/>
        </w:trPr>
        <w:tc>
          <w:tcPr>
            <w:tcW w:type="dxa" w:w="1050"/>
            <w:vAlign w:val="center"/>
            <w:shd w:fill="EAF2F7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6"/>
              </w:rPr>
              <w:t>阶段</w:t>
            </w:r>
          </w:p>
        </w:tc>
        <w:tc>
          <w:tcPr>
            <w:tcW w:type="dxa" w:w="1550"/>
            <w:vAlign w:val="center"/>
            <w:shd w:fill="EAF2F7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6"/>
              </w:rPr>
              <w:t>主题</w:t>
            </w:r>
          </w:p>
        </w:tc>
        <w:tc>
          <w:tcPr>
            <w:tcW w:type="dxa" w:w="900"/>
            <w:vAlign w:val="center"/>
            <w:shd w:fill="EAF2F7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6"/>
              </w:rPr>
              <w:t>周期</w:t>
            </w:r>
          </w:p>
        </w:tc>
        <w:tc>
          <w:tcPr>
            <w:tcW w:type="dxa" w:w="3300"/>
            <w:vAlign w:val="center"/>
            <w:shd w:fill="EAF2F7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6"/>
              </w:rPr>
              <w:t>主要工作</w:t>
            </w:r>
          </w:p>
        </w:tc>
        <w:tc>
          <w:tcPr>
            <w:tcW w:type="dxa" w:w="2560"/>
            <w:vAlign w:val="center"/>
            <w:shd w:fill="EAF2F7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6"/>
              </w:rPr>
              <w:t>交付物</w:t>
            </w:r>
          </w:p>
        </w:tc>
      </w:tr>
      <w:tr>
        <w:trPr/>
        <w:tc>
          <w:tcPr>
            <w:tcW w:type="dxa" w:w="105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6"/>
              </w:rPr>
              <w:t>阶段一</w:t>
            </w:r>
          </w:p>
        </w:tc>
        <w:tc>
          <w:tcPr>
            <w:tcW w:type="dxa" w:w="155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启动与详细设计</w:t>
            </w:r>
          </w:p>
        </w:tc>
        <w:tc>
          <w:tcPr>
            <w:tcW w:type="dxa" w:w="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2 周</w:t>
            </w:r>
          </w:p>
        </w:tc>
        <w:tc>
          <w:tcPr>
            <w:tcW w:type="dxa" w:w="33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需求确认、流程梳理、数据与接口清单、验收基线</w:t>
            </w:r>
          </w:p>
        </w:tc>
        <w:tc>
          <w:tcPr>
            <w:tcW w:type="dxa" w:w="2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需求规格说明书、总体/详细设计</w:t>
            </w:r>
          </w:p>
        </w:tc>
      </w:tr>
      <w:tr>
        <w:trPr/>
        <w:tc>
          <w:tcPr>
            <w:tcW w:type="dxa" w:w="105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6"/>
              </w:rPr>
              <w:t>阶段二</w:t>
            </w:r>
          </w:p>
        </w:tc>
        <w:tc>
          <w:tcPr>
            <w:tcW w:type="dxa" w:w="155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平台底座</w:t>
            </w:r>
          </w:p>
        </w:tc>
        <w:tc>
          <w:tcPr>
            <w:tcW w:type="dxa" w:w="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4 周</w:t>
            </w:r>
          </w:p>
        </w:tc>
        <w:tc>
          <w:tcPr>
            <w:tcW w:type="dxa" w:w="33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后端、数据库、组织权限、审计、文件、待办</w:t>
            </w:r>
          </w:p>
        </w:tc>
        <w:tc>
          <w:tcPr>
            <w:tcW w:type="dxa" w:w="2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基础平台与开发测试环境</w:t>
            </w:r>
          </w:p>
        </w:tc>
      </w:tr>
      <w:tr>
        <w:trPr/>
        <w:tc>
          <w:tcPr>
            <w:tcW w:type="dxa" w:w="105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6"/>
              </w:rPr>
              <w:t>阶段三</w:t>
            </w:r>
          </w:p>
        </w:tc>
        <w:tc>
          <w:tcPr>
            <w:tcW w:type="dxa" w:w="155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核心业务闭环</w:t>
            </w:r>
          </w:p>
        </w:tc>
        <w:tc>
          <w:tcPr>
            <w:tcW w:type="dxa" w:w="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8 周</w:t>
            </w:r>
          </w:p>
        </w:tc>
        <w:tc>
          <w:tcPr>
            <w:tcW w:type="dxa" w:w="33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风险、隐患、作业许可、规则与告警服务端化</w:t>
            </w:r>
          </w:p>
        </w:tc>
        <w:tc>
          <w:tcPr>
            <w:tcW w:type="dxa" w:w="2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核心业务版本和迁移数据</w:t>
            </w:r>
          </w:p>
        </w:tc>
      </w:tr>
      <w:tr>
        <w:trPr/>
        <w:tc>
          <w:tcPr>
            <w:tcW w:type="dxa" w:w="105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6"/>
              </w:rPr>
              <w:t>阶段四</w:t>
            </w:r>
          </w:p>
        </w:tc>
        <w:tc>
          <w:tcPr>
            <w:tcW w:type="dxa" w:w="155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应急与集成</w:t>
            </w:r>
          </w:p>
        </w:tc>
        <w:tc>
          <w:tcPr>
            <w:tcW w:type="dxa" w:w="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6 周</w:t>
            </w:r>
          </w:p>
        </w:tc>
        <w:tc>
          <w:tcPr>
            <w:tcW w:type="dxa" w:w="33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预案、资源、事件、通信、监测接口和实时推送</w:t>
            </w:r>
          </w:p>
        </w:tc>
        <w:tc>
          <w:tcPr>
            <w:tcW w:type="dxa" w:w="2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应急业务版本与接口联调结果</w:t>
            </w:r>
          </w:p>
        </w:tc>
      </w:tr>
      <w:tr>
        <w:trPr/>
        <w:tc>
          <w:tcPr>
            <w:tcW w:type="dxa" w:w="105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6"/>
              </w:rPr>
              <w:t>阶段五</w:t>
            </w:r>
          </w:p>
        </w:tc>
        <w:tc>
          <w:tcPr>
            <w:tcW w:type="dxa" w:w="155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测试与试点</w:t>
            </w:r>
          </w:p>
        </w:tc>
        <w:tc>
          <w:tcPr>
            <w:tcW w:type="dxa" w:w="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4 周</w:t>
            </w:r>
          </w:p>
        </w:tc>
        <w:tc>
          <w:tcPr>
            <w:tcW w:type="dxa" w:w="33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系统测试、安全整改、性能测试、用户培训、试点运行</w:t>
            </w:r>
          </w:p>
        </w:tc>
        <w:tc>
          <w:tcPr>
            <w:tcW w:type="dxa" w:w="2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测试报告、试点问题清单和整改结果</w:t>
            </w:r>
          </w:p>
        </w:tc>
      </w:tr>
      <w:tr>
        <w:trPr/>
        <w:tc>
          <w:tcPr>
            <w:tcW w:type="dxa" w:w="105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6"/>
              </w:rPr>
              <w:t>阶段六</w:t>
            </w:r>
          </w:p>
        </w:tc>
        <w:tc>
          <w:tcPr>
            <w:tcW w:type="dxa" w:w="155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上线与验收</w:t>
            </w:r>
          </w:p>
        </w:tc>
        <w:tc>
          <w:tcPr>
            <w:tcW w:type="dxa" w:w="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2 周</w:t>
            </w:r>
          </w:p>
        </w:tc>
        <w:tc>
          <w:tcPr>
            <w:tcW w:type="dxa" w:w="33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生产部署、数据切换、运行观察、验收支持</w:t>
            </w:r>
          </w:p>
        </w:tc>
        <w:tc>
          <w:tcPr>
            <w:tcW w:type="dxa" w:w="25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6"/>
              </w:rPr>
              <w:t>上线版本、运维手册和验收材料</w:t>
            </w:r>
          </w:p>
        </w:tc>
      </w:tr>
    </w:tbl>
    <w:p>
      <w:pPr>
        <w:spacing w:after="40"/>
      </w:pPr>
    </w:p>
    <w:p>
      <w:pPr>
        <w:keepNext w:val="0"/>
        <w:spacing w:after="160"/>
      </w:pPr>
      <w:r>
        <w:rPr>
          <w:rFonts w:ascii="Arial Unicode MS" w:hAnsi="Arial Unicode MS" w:eastAsia="Arial Unicode MS"/>
          <w:color w:val="243B47"/>
          <w:sz w:val="22"/>
        </w:rPr>
        <w:t>建议基准周期为 26 周。部分接口开发、前端迁移和测试工作可并行开展；如甲方要求增加完整质量管理、职业健康、政府平台上报或复杂现场硬件集成，应另行评估范围和周期。</w:t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12. 项目组织与协同机制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12.1 建议项目角色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9"/>
              </w:rPr>
              <w:t>角色</w:t>
            </w:r>
          </w:p>
        </w:tc>
        <w:tc>
          <w:tcPr>
            <w:tcW w:type="dxa" w:w="686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9"/>
              </w:rPr>
              <w:t>主要职责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9"/>
              </w:rPr>
              <w:t>甲方项目负责人</w:t>
            </w:r>
          </w:p>
        </w:tc>
        <w:tc>
          <w:tcPr>
            <w:tcW w:type="dxa" w:w="6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9"/>
              </w:rPr>
              <w:t>决策协调、资源保障、范围与验收确认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9"/>
              </w:rPr>
              <w:t>甲方业务专家</w:t>
            </w:r>
          </w:p>
        </w:tc>
        <w:tc>
          <w:tcPr>
            <w:tcW w:type="dxa" w:w="6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9"/>
              </w:rPr>
              <w:t>制度流程、角色职责、表单与指标口径确认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9"/>
              </w:rPr>
              <w:t>甲方信息化/安全</w:t>
            </w:r>
          </w:p>
        </w:tc>
        <w:tc>
          <w:tcPr>
            <w:tcW w:type="dxa" w:w="6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9"/>
              </w:rPr>
              <w:t>系统集成、网络、安全、账号和部署条件确认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9"/>
              </w:rPr>
              <w:t>实施方项目经理</w:t>
            </w:r>
          </w:p>
        </w:tc>
        <w:tc>
          <w:tcPr>
            <w:tcW w:type="dxa" w:w="6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9"/>
              </w:rPr>
              <w:t>计划、范围、风险、沟通和交付管理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9"/>
              </w:rPr>
              <w:t>业务分析与架构</w:t>
            </w:r>
          </w:p>
        </w:tc>
        <w:tc>
          <w:tcPr>
            <w:tcW w:type="dxa" w:w="6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9"/>
              </w:rPr>
              <w:t>需求、流程、数据、接口和技术设计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9"/>
              </w:rPr>
              <w:t>研发与测试</w:t>
            </w:r>
          </w:p>
        </w:tc>
        <w:tc>
          <w:tcPr>
            <w:tcW w:type="dxa" w:w="6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9"/>
              </w:rPr>
              <w:t>前后端开发、集成、测试、修复和发布支持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9"/>
              </w:rPr>
              <w:t>运维与培训</w:t>
            </w:r>
          </w:p>
        </w:tc>
        <w:tc>
          <w:tcPr>
            <w:tcW w:type="dxa" w:w="6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9"/>
              </w:rPr>
              <w:t>部署、监控、备份、手册、培训和上线支持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12.2 沟通与变更机制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建立周例会、迭代评审、问题清单和风险台账。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需求变更记录变更原因、影响范围、工作量、周期与验收调整。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关键流程、接口、数据口径和验收标准必须形成书面确认。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试点期间建立问题分级、响应时限和关闭验证机制。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13. 测试与验收方案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13.1 测试范围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单元测试：状态机、计算规则、权限策略和数据转换。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接口测试：参数、权限、幂等、事务、并发和异常场景。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业务测试：端到端闭环、审批、证据、通知和审计。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集成测试：GDS、VOC、MES、身份、通信和文件平台。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性能测试：查询、写入、实时推送、批量导入和报表生成。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安全测试：鉴权、越权、注入、文件上传、敏感信息和依赖漏洞。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恢复测试：服务重启、网络中断、数据库备份恢复和队列重试。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13.2 建议验收指标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800"/>
        <w:gridCol w:w="3860"/>
      </w:tblGrid>
      <w:tr>
        <w:trPr>
          <w:tblHeader w:val="true"/>
        </w:trPr>
        <w:tc>
          <w:tcPr>
            <w:tcW w:type="dxa" w:w="1700"/>
            <w:vAlign w:val="center"/>
            <w:shd w:fill="EDF7F3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类别</w:t>
            </w:r>
          </w:p>
        </w:tc>
        <w:tc>
          <w:tcPr>
            <w:tcW w:type="dxa" w:w="3800"/>
            <w:vAlign w:val="center"/>
            <w:shd w:fill="EDF7F3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验收内容</w:t>
            </w:r>
          </w:p>
        </w:tc>
        <w:tc>
          <w:tcPr>
            <w:tcW w:type="dxa" w:w="3860"/>
            <w:vAlign w:val="center"/>
            <w:shd w:fill="EDF7F3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建议口径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功能完整性</w:t>
            </w:r>
          </w:p>
        </w:tc>
        <w:tc>
          <w:tcPr>
            <w:tcW w:type="dxa" w:w="3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合同范围内功能、流程和接口通过测试</w:t>
            </w:r>
          </w:p>
        </w:tc>
        <w:tc>
          <w:tcPr>
            <w:tcW w:type="dxa" w:w="3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全部关键用例通过，无阻塞性缺陷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数据准确性</w:t>
            </w:r>
          </w:p>
        </w:tc>
        <w:tc>
          <w:tcPr>
            <w:tcW w:type="dxa" w:w="3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关键数据、状态、指标和报表口径一致</w:t>
            </w:r>
          </w:p>
        </w:tc>
        <w:tc>
          <w:tcPr>
            <w:tcW w:type="dxa" w:w="3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与确认样本及来源系统核对一致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权限安全</w:t>
            </w:r>
          </w:p>
        </w:tc>
        <w:tc>
          <w:tcPr>
            <w:tcW w:type="dxa" w:w="3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角色、数据范围、接口和附件无越权</w:t>
            </w:r>
          </w:p>
        </w:tc>
        <w:tc>
          <w:tcPr>
            <w:tcW w:type="dxa" w:w="3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权限测试全部通过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性能</w:t>
            </w:r>
          </w:p>
        </w:tc>
        <w:tc>
          <w:tcPr>
            <w:tcW w:type="dxa" w:w="3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常用查询与业务操作响应</w:t>
            </w:r>
          </w:p>
        </w:tc>
        <w:tc>
          <w:tcPr>
            <w:tcW w:type="dxa" w:w="3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建议 P95 查询≤2秒、业务动作≤3秒；以环境实测为准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实时性</w:t>
            </w:r>
          </w:p>
        </w:tc>
        <w:tc>
          <w:tcPr>
            <w:tcW w:type="dxa" w:w="3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告警与任务状态推送</w:t>
            </w:r>
          </w:p>
        </w:tc>
        <w:tc>
          <w:tcPr>
            <w:tcW w:type="dxa" w:w="3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建议平台接收后 3 秒内推送；不含来源系统延迟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可用性</w:t>
            </w:r>
          </w:p>
        </w:tc>
        <w:tc>
          <w:tcPr>
            <w:tcW w:type="dxa" w:w="3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生产系统稳定运行</w:t>
            </w:r>
          </w:p>
        </w:tc>
        <w:tc>
          <w:tcPr>
            <w:tcW w:type="dxa" w:w="3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建议月度可用性≥99.5%，计划维护除外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备份恢复</w:t>
            </w:r>
          </w:p>
        </w:tc>
        <w:tc>
          <w:tcPr>
            <w:tcW w:type="dxa" w:w="3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数据库和文件可恢复</w:t>
            </w:r>
          </w:p>
        </w:tc>
        <w:tc>
          <w:tcPr>
            <w:tcW w:type="dxa" w:w="3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建议 RPO≤24小时、RTO≤4小时，按甲方等级调整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文档培训</w:t>
            </w:r>
          </w:p>
        </w:tc>
        <w:tc>
          <w:tcPr>
            <w:tcW w:type="dxa" w:w="3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交付文档完整、关键用户掌握操作</w:t>
            </w:r>
          </w:p>
        </w:tc>
        <w:tc>
          <w:tcPr>
            <w:tcW w:type="dxa" w:w="38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文档签收，培训及考核记录齐全</w:t>
            </w:r>
          </w:p>
        </w:tc>
      </w:tr>
    </w:tbl>
    <w:p>
      <w:pPr>
        <w:spacing w:after="40"/>
      </w:pPr>
    </w:p>
    <w:p>
      <w:pPr>
        <w:spacing w:before="80" w:after="200" w:line="288" w:lineRule="auto"/>
        <w:ind w:left="187" w:right="115"/>
        <w:shd w:fill="FFF7E6"/>
        <w:pBdr>
          <w:left w:val="single" w:sz="18" w:color="A66B0B" w:space="6"/>
        </w:pBdr>
      </w:pPr>
      <w:r>
        <w:rPr>
          <w:rFonts w:ascii="Arial Unicode MS" w:hAnsi="Arial Unicode MS" w:eastAsia="Arial Unicode MS"/>
          <w:b/>
          <w:color w:val="A66B0B"/>
          <w:sz w:val="21"/>
        </w:rPr>
        <w:t xml:space="preserve">验收说明  </w:t>
      </w:r>
      <w:r>
        <w:rPr>
          <w:rFonts w:ascii="Arial Unicode MS" w:hAnsi="Arial Unicode MS" w:eastAsia="Arial Unicode MS"/>
          <w:color w:val="243B47"/>
          <w:sz w:val="21"/>
        </w:rPr>
        <w:t>性能、可用性、并发、RPO/RTO 和接口时延等数值需结合甲方基础设施、网络边界、数据规模和合同等级最终确认。</w:t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14. 交付成果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项目管理：项目计划、会议纪要、风险清单、变更记录和周报。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需求设计：需求规格、业务流程、原型确认、总体设计、详细设计和数据设计。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软件成果：前端、后端、数据库迁移、接口适配、配置与构建脚本。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接口成果：OpenAPI 文档、接口映射、联调记录和异常处理说明。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测试成果：测试方案、用例、测试报告、性能报告和安全整改记录。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部署运维：部署手册、配置说明、监控告警、备份恢复和故障处理手册。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用户资料：用户手册、管理员手册、培训材料和培训记录。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验收资料：试运行报告、问题关闭清单、上线确认和验收支持材料。</w:t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15. 项目边界与前提条件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甲方负责确认业务制度、组织职责、审批人、数据口径和验收标准。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甲方提供外部系统接口、网络访问、测试账号、数据字典和联调支持。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短信、电话、CA 签名、地图、视频和第三方平台的软件许可、资费及硬件由合同范围明确。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现场传感器、网络改造、工业控制系统写入以及硬件安装不默认包含在软件平台范围内。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历史数据迁移范围、数据质量修复和人工补录工作量需在数据评估后确定。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完整质量管理、职业健康、危废/固废、碳排放等扩展模块需根据甲方二期范围专项设计。</w:t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16. 主要风险与应对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600"/>
        <w:gridCol w:w="1800"/>
        <w:gridCol w:w="3460"/>
      </w:tblGrid>
      <w:tr>
        <w:trPr>
          <w:tblHeader w:val="true"/>
        </w:trPr>
        <w:tc>
          <w:tcPr>
            <w:tcW w:type="dxa" w:w="1500"/>
            <w:vAlign w:val="center"/>
            <w:shd w:fill="FFF7E6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风险</w:t>
            </w:r>
          </w:p>
        </w:tc>
        <w:tc>
          <w:tcPr>
            <w:tcW w:type="dxa" w:w="2600"/>
            <w:vAlign w:val="center"/>
            <w:shd w:fill="FFF7E6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表现</w:t>
            </w:r>
          </w:p>
        </w:tc>
        <w:tc>
          <w:tcPr>
            <w:tcW w:type="dxa" w:w="1800"/>
            <w:vAlign w:val="center"/>
            <w:shd w:fill="FFF7E6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影响</w:t>
            </w:r>
          </w:p>
        </w:tc>
        <w:tc>
          <w:tcPr>
            <w:tcW w:type="dxa" w:w="3460"/>
            <w:vAlign w:val="center"/>
            <w:shd w:fill="FFF7E6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7"/>
              </w:rPr>
              <w:t>应对措施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接口准备不足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外部系统接口、账号或网络未按期提供</w:t>
            </w:r>
          </w:p>
        </w:tc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联调延期</w:t>
            </w:r>
          </w:p>
        </w:tc>
        <w:tc>
          <w:tcPr>
            <w:tcW w:type="dxa" w:w="3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启动阶段锁定接口清单、责任人和模拟方案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数据质量不一致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编码、时间、单位和组织口径不同</w:t>
            </w:r>
          </w:p>
        </w:tc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指标和联动错误</w:t>
            </w:r>
          </w:p>
        </w:tc>
        <w:tc>
          <w:tcPr>
            <w:tcW w:type="dxa" w:w="3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先做数据剖析、映射表和质量规则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业务流程差异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不同装置或部门执行方式不一致</w:t>
            </w:r>
          </w:p>
        </w:tc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需求频繁变更</w:t>
            </w:r>
          </w:p>
        </w:tc>
        <w:tc>
          <w:tcPr>
            <w:tcW w:type="dxa" w:w="3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确定标准主流程，差异采用受控配置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权限边界不清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审批人、数据范围和代办规则未确认</w:t>
            </w:r>
          </w:p>
        </w:tc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越权或流程阻塞</w:t>
            </w:r>
          </w:p>
        </w:tc>
        <w:tc>
          <w:tcPr>
            <w:tcW w:type="dxa" w:w="3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组织权限专项确认与角色测试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用户使用习惯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现场仍依赖纸质或线下沟通</w:t>
            </w:r>
          </w:p>
        </w:tc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系统使用率不足</w:t>
            </w:r>
          </w:p>
        </w:tc>
        <w:tc>
          <w:tcPr>
            <w:tcW w:type="dxa" w:w="3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试点先行、关键用户参与、培训与考核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7"/>
              </w:rPr>
              <w:t>生产环境约束</w:t>
            </w:r>
          </w:p>
        </w:tc>
        <w:tc>
          <w:tcPr>
            <w:tcW w:type="dxa" w:w="26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网络分区、资源或安全策略限制</w:t>
            </w:r>
          </w:p>
        </w:tc>
        <w:tc>
          <w:tcPr>
            <w:tcW w:type="dxa" w:w="18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部署与性能风险</w:t>
            </w:r>
          </w:p>
        </w:tc>
        <w:tc>
          <w:tcPr>
            <w:tcW w:type="dxa" w:w="3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7"/>
              </w:rPr>
              <w:t>提前开展环境勘察和容量评估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17. 后续扩展路线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17.1 质量管理（Quality）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来料、过程和成品质量检验。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不合格品、偏差、CAPA 和质量问题闭环。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供应商质量、实验室、计量校准和质量指标。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17.2 职业健康（Health）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职业危害因素、检测点位和接触岗位。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职业健康体检、复查、禁忌证和健康档案。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PPE 配置、发放、到期和适配管理。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17.3 环境管理（Environment）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废水、废气、噪声、固废和危废全过程管理。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排污许可、环保台账、异常处置和监管报送。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能源、碳排放、环保绩效与趋势分析。</w:t>
      </w:r>
    </w:p>
    <w:p>
      <w:pPr>
        <w:pStyle w:val="Heading2"/>
        <w:keepNext/>
        <w:keepLines/>
      </w:pPr>
      <w:r>
        <w:rPr>
          <w:rFonts w:ascii="Arial Unicode MS" w:hAnsi="Arial Unicode MS" w:eastAsia="Arial Unicode MS"/>
          <w:b/>
          <w:color w:val="2E74B5"/>
          <w:sz w:val="26"/>
        </w:rPr>
        <w:t>17.4 安全支撑能力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安全培训、承包商、变更管理 MOC、安全观察和检查计划。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危险化学品、特殊设备、消防设施和法规合规管理。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移动端扫码、拍照、定位、离线填报和现场审批。</w:t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18. 预期建设价值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从分散台账转向统一风险对象和统一业务数据。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从人工跟踪转向状态驱动、到期提醒和全过程待办。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从单点告警转向监测、工艺、票证和人员多源证据研判。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从电话协调转向任务、资源、通信和事件协同留痕。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从事后统计转向实时态势和可下钻的管理指标。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从经验复盘转向原因、措施、证据和知识归档闭环。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为后续完整 QHSE 平台和企业数据治理建立可持续扩展底座。</w:t>
      </w:r>
    </w:p>
    <w:p>
      <w:pPr>
        <w:spacing w:before="80" w:after="200" w:line="288" w:lineRule="auto"/>
        <w:ind w:left="187" w:right="115"/>
        <w:shd w:fill="EAF2F7"/>
        <w:pBdr>
          <w:left w:val="single" w:sz="18" w:color="1F4D78" w:space="6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建议下一步  </w:t>
      </w:r>
      <w:r>
        <w:rPr>
          <w:rFonts w:ascii="Arial Unicode MS" w:hAnsi="Arial Unicode MS" w:eastAsia="Arial Unicode MS"/>
          <w:color w:val="243B47"/>
          <w:sz w:val="21"/>
        </w:rPr>
        <w:t>由甲方组织 QHSE、生产、设备、环保、信息化和安全部门开展联合需求确认，优先锁定隐患治理、作业许可和应急事件三个端到端闭环，并同步确认组织权限、外部接口和部署边界。</w:t>
      </w: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附录 A：建议一期功能清单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能力域</w:t>
            </w:r>
          </w:p>
        </w:tc>
        <w:tc>
          <w:tcPr>
            <w:tcW w:type="dxa" w:w="7460"/>
            <w:vAlign w:val="center"/>
            <w:shd w:fill="F4F6F9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B4A"/>
                <w:sz w:val="18"/>
              </w:rPr>
              <w:t>一期建议范围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平台基础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登录认证、组织、用户、角色、权限、字典、文件、审计、待办、消息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驾驶舱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指标、风险地图、事件队列、趋势、闭环、部门与区域下钻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监测中心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GDS、VOC、MES 数据接入、趋势、设备状态和关联证据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风险管理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风险单元、LEC 评估、动态风险、措施和对象关联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隐患治理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上报、整改、证据、验收、督办、催办和统计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作业许可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八类票证、审批、双人确认、检测、联动、延期和关闭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规则预警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规则、表达式、会签、版本、执行、告警、证据和处置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应急预案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草稿、会签、版本、回滚、到期、演练和问题转隐患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应急资源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台账、库存、批次、巡检、调拨、到位、归还和维修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融合通信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模板、通知、回执、确认、重试和升级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应急事件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研判、响应、任务、资源、证据、监控、关闭审批和审计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事件复盘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时间线、原因分析、整改措施、报告和知识归档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展示大屏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实时态势、告警、资源、闭环和系统运行状态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43B47"/>
                <w:sz w:val="18"/>
              </w:rPr>
              <w:t>运维保障</w:t>
            </w:r>
          </w:p>
        </w:tc>
        <w:tc>
          <w:tcPr>
            <w:tcW w:type="dxa" w:w="7460"/>
            <w:vAlign w:val="center"/>
            <w:tcBorders>
              <w:top w:val="single" w:sz="4" w:color="D8E1E6" w:space="0"/>
              <w:bottom w:val="single" w:sz="4" w:color="D8E1E6" w:space="0"/>
              <w:start w:val="single" w:sz="4" w:color="D8E1E6" w:space="0"/>
              <w:end w:val="single" w:sz="4" w:color="D8E1E6" w:space="0"/>
              <w:insideH w:val="single" w:sz="4" w:color="D8E1E6" w:space="0"/>
              <w:insideV w:val="single" w:sz="4" w:color="D8E1E6" w:space="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B47"/>
                <w:sz w:val="18"/>
              </w:rPr>
              <w:t>日志、监控、告警、备份、恢复、健康检查和发布管理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Arial Unicode MS" w:hAnsi="Arial Unicode MS" w:eastAsia="Arial Unicode MS"/>
          <w:b/>
          <w:color w:val="2E74B5"/>
          <w:sz w:val="32"/>
        </w:rPr>
        <w:t>附录 B：建议接口分组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/api/v1/auth、/organizations、/users、/roles、/permissions：身份与权限。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/api/v1/risks、/hazards、/work-permits：核心 QHSE 管理。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/api/v1/warning-rules、/warning-events：规则与告警。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/api/v1/emergency-plans、/drills、/resources、/emergency-events：应急管理。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/api/v1/tasks、/files、/audit-logs、/notifications：公共支撑。</w:t>
      </w:r>
    </w:p>
    <w:p>
      <w:pPr>
        <w:numPr>
          <w:ilvl w:val="0"/>
          <w:numId w:val="71"/>
        </w:numPr>
        <w:spacing w:after="80" w:line="290" w:lineRule="auto"/>
      </w:pPr>
      <w:r>
        <w:rPr>
          <w:rFonts w:ascii="Arial Unicode MS" w:hAnsi="Arial Unicode MS" w:eastAsia="Arial Unicode MS"/>
          <w:color w:val="243B47"/>
          <w:sz w:val="22"/>
        </w:rPr>
        <w:t>/api/v1/monitoring、/integrations、/dashboard：监测接入与聚合展示。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87B84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87B8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color w:val="687B84"/>
        <w:sz w:val="17"/>
      </w:rPr>
      <w:t>炼化企业 QHSE 风险联动平台建设解决方案  |  项目交流版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9"/>
        <w:spacing w:after="80" w:line="290" w:lineRule="auto"/>
      </w:pPr>
      <w:rPr>
        <w:rFonts w:ascii="Arial Unicode MS" w:hAnsi="Arial Unicode MS" w:eastAsia="Arial Unicode MS"/>
      </w:rPr>
    </w:lvl>
  </w:abstractNum>
  <w:num w:numId="71">
    <w:abstractNumId w:val="71"/>
  </w:num>
  <w:abstractNum w:abstractNumId="7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9"/>
        <w:spacing w:after="80" w:line="290" w:lineRule="auto"/>
      </w:pPr>
      <w:rPr>
        <w:rFonts w:ascii="Arial Unicode MS" w:hAnsi="Arial Unicode MS" w:eastAsia="Arial Unicode MS"/>
      </w:rPr>
    </w:lvl>
  </w:abstract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Arial Unicode MS" w:hAnsi="Arial Unicode MS" w:eastAsia="Arial Unicode MS"/>
      <w:b w:val="0"/>
      <w:color w:val="243B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炼化企业 QHSE 风险联动平台建设解决方案</dc:title>
  <dc:subject>面向炼化企业的 QHSE 数字化平台建设方案</dc:subject>
  <dc:creator>项目解决方案组</dc:creator>
  <cp:keywords>QHSE, 风险分级, 隐患治理, 作业许可, 预警, 应急管理</cp:keywords>
  <dc:description>项目交流版，最终范围以双方确认文件为准。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