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5 – Project Development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Development process:</w:t>
        <w:br/>
        <w:t>• Set up the required programming environment.</w:t>
        <w:br/>
        <w:t>• Create the project structure.</w:t>
        <w:br/>
        <w:t>• Build the user interaction/interface.</w:t>
        <w:br/>
        <w:t>• Add input handling for student questions.</w:t>
        <w:br/>
        <w:t>• Configure Google Gemini API integration.</w:t>
        <w:br/>
        <w:t>• Send user prompts to Gemini.</w:t>
        <w:br/>
        <w:t>• Receive and process generated responses.</w:t>
        <w:br/>
        <w:t>• Display the answer in a readable educational format.</w:t>
        <w:br/>
        <w:t>• Add error handling for invalid input or API problems.</w:t>
        <w:br/>
        <w:t>• Run the application and verify the complete workflow.</w:t>
      </w:r>
    </w:p>
    <w:p>
      <w:pPr>
        <w:spacing w:after="120"/>
      </w:pPr>
      <w:r>
        <w:t>Development principle:</w:t>
        <w:br/>
        <w:t>The application should focus on clear student interaction and useful AI-generated educational responses. API keys and other sensitive configuration values should not be hard-coded into publicly shared source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