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30"/>
          <w:szCs w:val="30"/>
        </w:rPr>
        <w:t xml:space="preserve">Individual Case Safety Report (ICSR)</w:t>
      </w:r>
    </w:p>
    <w:p>
      <w:pPr>
        <w:spacing w:after="100" w:before="200"/>
      </w:pPr>
      <w:r>
        <w:rPr>
          <w:b/>
          <w:bCs/>
          <w:sz w:val="24"/>
          <w:szCs w:val="24"/>
        </w:rPr>
        <w:t xml:space="preserve">Case Information:</w:t>
      </w:r>
    </w:p>
    <w:p>
      <w:pPr>
        <w:spacing w:after="80"/>
      </w:pPr>
      <w:r>
        <w:rPr>
          <w:b w:val="false"/>
          <w:bCs w:val="false"/>
          <w:sz w:val="22"/>
          <w:szCs w:val="22"/>
        </w:rPr>
        <w:t xml:space="preserve">Patient: J.B., Age 41 years, Gender: Male, Weight: Not recorded</w:t>
      </w:r>
    </w:p>
    <w:p>
      <w:pPr>
        <w:spacing w:after="80"/>
      </w:pPr>
      <w:r>
        <w:rPr>
          <w:b w:val="false"/>
          <w:bCs w:val="false"/>
          <w:sz w:val="22"/>
          <w:szCs w:val="22"/>
        </w:rPr>
        <w:t xml:space="preserve">Medical History: Osteochondroma of the right distal tibia/ankle; post-surgical osteomyelitis following ankle reconstructive surgery</w:t>
      </w:r>
    </w:p>
    <w:p>
      <w:pPr>
        <w:spacing w:after="80"/>
      </w:pPr>
      <w:r>
        <w:rPr>
          <w:b w:val="false"/>
          <w:bCs w:val="false"/>
          <w:sz w:val="22"/>
          <w:szCs w:val="22"/>
        </w:rPr>
        <w:t xml:space="preserve">Allergies: None known</w:t>
      </w:r>
    </w:p>
    <w:p>
      <w:pPr>
        <w:spacing w:after="80"/>
      </w:pPr>
      <w:r>
        <w:rPr>
          <w:b w:val="false"/>
          <w:bCs w:val="false"/>
          <w:sz w:val="22"/>
          <w:szCs w:val="22"/>
        </w:rPr>
        <w:t xml:space="preserve">Smoking Status: Not documented</w:t>
      </w:r>
    </w:p>
    <w:p>
      <w:pPr>
        <w:spacing w:after="100" w:before="200"/>
      </w:pPr>
      <w:r>
        <w:rPr>
          <w:b/>
          <w:bCs/>
          <w:sz w:val="24"/>
          <w:szCs w:val="24"/>
        </w:rPr>
        <w:t xml:space="preserve">Suspected Drug</w:t>
      </w:r>
    </w:p>
    <w:p>
      <w:pPr>
        <w:spacing w:after="80"/>
      </w:pPr>
      <w:r>
        <w:rPr>
          <w:b w:val="false"/>
          <w:bCs w:val="false"/>
          <w:sz w:val="22"/>
          <w:szCs w:val="22"/>
        </w:rPr>
        <w:t xml:space="preserve">Drug:	Vancomycin</w:t>
      </w:r>
    </w:p>
    <w:p>
      <w:pPr>
        <w:spacing w:after="80"/>
      </w:pPr>
      <w:r>
        <w:rPr>
          <w:b w:val="false"/>
          <w:bCs w:val="false"/>
          <w:sz w:val="22"/>
          <w:szCs w:val="22"/>
        </w:rPr>
        <w:t xml:space="preserve">Dose:	Intravenous, administered via PICC line (5-week planned course, given alongside ceftriaxone)</w:t>
      </w:r>
    </w:p>
    <w:p>
      <w:pPr>
        <w:spacing w:after="80"/>
      </w:pPr>
      <w:r>
        <w:rPr>
          <w:b w:val="false"/>
          <w:bCs w:val="false"/>
          <w:sz w:val="22"/>
          <w:szCs w:val="22"/>
        </w:rPr>
        <w:t xml:space="preserve">Route:	Intravenous</w:t>
      </w:r>
    </w:p>
    <w:p>
      <w:pPr>
        <w:spacing w:after="80"/>
      </w:pPr>
      <w:r>
        <w:rPr>
          <w:b w:val="false"/>
          <w:bCs w:val="false"/>
          <w:sz w:val="22"/>
          <w:szCs w:val="22"/>
        </w:rPr>
        <w:t xml:space="preserve">Indication: Post-surgical osteomyelitis of the right ankle</w:t>
      </w:r>
    </w:p>
    <w:p>
      <w:pPr>
        <w:spacing w:after="80"/>
      </w:pPr>
      <w:r>
        <w:rPr>
          <w:b w:val="false"/>
          <w:bCs w:val="false"/>
          <w:sz w:val="22"/>
          <w:szCs w:val="22"/>
        </w:rPr>
        <w:t xml:space="preserve">Therapy Start Date: Approximately 5 weeks prior to symptom onset</w:t>
      </w:r>
    </w:p>
    <w:p>
      <w:pPr>
        <w:spacing w:after="80"/>
      </w:pPr>
      <w:r>
        <w:rPr>
          <w:b w:val="false"/>
          <w:bCs w:val="false"/>
          <w:sz w:val="22"/>
          <w:szCs w:val="22"/>
        </w:rPr>
        <w:t xml:space="preserve">Therapy Stop Date: Discontinued after 5 of 6 planned weeks, on emergence of rash</w:t>
      </w:r>
    </w:p>
    <w:p>
      <w:pPr>
        <w:spacing w:after="100" w:before="200"/>
      </w:pPr>
      <w:r>
        <w:rPr>
          <w:b/>
          <w:bCs/>
          <w:sz w:val="24"/>
          <w:szCs w:val="24"/>
        </w:rPr>
        <w:t xml:space="preserve">ADR Identification</w:t>
      </w:r>
    </w:p>
    <w:p>
      <w:pPr>
        <w:spacing w:after="80"/>
      </w:pPr>
      <w:r>
        <w:rPr>
          <w:b/>
          <w:bCs/>
          <w:sz w:val="22"/>
          <w:szCs w:val="22"/>
        </w:rPr>
        <w:t xml:space="preserve">Suspected ADR</w:t>
      </w:r>
    </w:p>
    <w:p>
      <w:pPr>
        <w:spacing w:after="80"/>
      </w:pPr>
      <w:r>
        <w:rPr>
          <w:b w:val="false"/>
          <w:bCs w:val="false"/>
          <w:sz w:val="22"/>
          <w:szCs w:val="22"/>
        </w:rPr>
        <w:t xml:space="preserve">Drug Reaction with Eosinophilia and Systemic Symptoms (DRESS syndrome) with associated Acute Kidney Injury (biopsy-confirmed acute tubulointerstitial nephritis)</w:t>
      </w:r>
    </w:p>
    <w:p>
      <w:pPr>
        <w:spacing w:after="100" w:before="200"/>
      </w:pPr>
      <w:r>
        <w:rPr>
          <w:b/>
          <w:bCs/>
          <w:sz w:val="24"/>
          <w:szCs w:val="24"/>
        </w:rPr>
        <w:t xml:space="preserve">Clinical Features</w:t>
      </w:r>
    </w:p>
    <w:p>
      <w:pPr>
        <w:spacing w:after="80"/>
      </w:pPr>
      <w:r>
        <w:rPr>
          <w:b w:val="false"/>
          <w:bCs w:val="false"/>
          <w:sz w:val="22"/>
          <w:szCs w:val="22"/>
        </w:rPr>
        <w:t xml:space="preserve">Generalized maculopapular pruritic rash (centripetal spread from chest to abdomen, back, arms and groin), facial and cephalic edema, anasarca, bilateral inguinal lymphadenopathy, nausea, vomiting, diarrhea, headache, diminished appetite, low urine output progressing to anuria, tachycardia, eosinophilia, leukocytosis, elevated liver enzymes, hyponatremia, coagulopathy, and severe acute kidney injury.</w:t>
      </w:r>
    </w:p>
    <w:p>
      <w:pPr>
        <w:spacing w:after="100" w:before="200"/>
      </w:pPr>
      <w:r>
        <w:rPr>
          <w:b/>
          <w:bCs/>
          <w:sz w:val="24"/>
          <w:szCs w:val="24"/>
        </w:rPr>
        <w:t xml:space="preserve">Relevant Laboratory: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300"/>
        <w:gridCol w:w="2700"/>
      </w:tblGrid>
      <w:tr>
        <w:tc>
          <w:tcPr>
            <w:tcW w:type="dxa" w:w="3500"/>
            <w:shd w:fill="D9E2F3" w:val="clear"/>
          </w:tcPr>
          <w:p>
            <w:r>
              <w:rPr>
                <w:b/>
                <w:bCs/>
                <w:sz w:val="20"/>
                <w:szCs w:val="20"/>
              </w:rPr>
              <w:t xml:space="preserve">Investigation</w:t>
            </w:r>
          </w:p>
        </w:tc>
        <w:tc>
          <w:tcPr>
            <w:tcW w:type="dxa" w:w="3300"/>
            <w:shd w:fill="D9E2F3" w:val="clear"/>
          </w:tcPr>
          <w:p>
            <w:r>
              <w:rPr>
                <w:b/>
                <w:bCs/>
                <w:sz w:val="20"/>
                <w:szCs w:val="20"/>
              </w:rPr>
              <w:t xml:space="preserve">Result</w:t>
            </w:r>
          </w:p>
        </w:tc>
        <w:tc>
          <w:tcPr>
            <w:tcW w:type="dxa" w:w="2700"/>
            <w:shd w:fill="D9E2F3" w:val="clear"/>
          </w:tcPr>
          <w:p>
            <w:r>
              <w:rPr>
                <w:b/>
                <w:bCs/>
                <w:sz w:val="20"/>
                <w:szCs w:val="20"/>
              </w:rPr>
              <w:t xml:space="preserve">Reference Range / Interpretation</w:t>
            </w:r>
          </w:p>
        </w:tc>
      </w:tr>
      <w:tr>
        <w:tc>
          <w:tcPr>
            <w:tcW w:type="dxa" w:w="3500"/>
          </w:tcPr>
          <w:p>
            <w:r>
              <w:rPr>
                <w:b w:val="false"/>
                <w:bCs w:val="false"/>
                <w:sz w:val="20"/>
                <w:szCs w:val="20"/>
              </w:rPr>
              <w:t xml:space="preserve">WBC Count</w:t>
            </w:r>
          </w:p>
        </w:tc>
        <w:tc>
          <w:tcPr>
            <w:tcW w:type="dxa" w:w="3300"/>
          </w:tcPr>
          <w:p>
            <w:r>
              <w:rPr>
                <w:b w:val="false"/>
                <w:bCs w:val="false"/>
                <w:sz w:val="20"/>
                <w:szCs w:val="20"/>
              </w:rPr>
              <w:t xml:space="preserve">25.6 ×10⁹/L (peak)</w:t>
            </w:r>
          </w:p>
        </w:tc>
        <w:tc>
          <w:tcPr>
            <w:tcW w:type="dxa" w:w="2700"/>
          </w:tcPr>
          <w:p>
            <w:r>
              <w:rPr>
                <w:b w:val="false"/>
                <w:bCs w:val="false"/>
                <w:sz w:val="20"/>
                <w:szCs w:val="20"/>
              </w:rPr>
              <w:t xml:space="preserve">Markedly Elevated</w:t>
            </w:r>
          </w:p>
        </w:tc>
      </w:tr>
      <w:tr>
        <w:tc>
          <w:tcPr>
            <w:tcW w:type="dxa" w:w="3500"/>
          </w:tcPr>
          <w:p>
            <w:r>
              <w:rPr>
                <w:b w:val="false"/>
                <w:bCs w:val="false"/>
                <w:sz w:val="20"/>
                <w:szCs w:val="20"/>
              </w:rPr>
              <w:t xml:space="preserve">Eosinophils (absolute)</w:t>
            </w:r>
          </w:p>
        </w:tc>
        <w:tc>
          <w:tcPr>
            <w:tcW w:type="dxa" w:w="3300"/>
          </w:tcPr>
          <w:p>
            <w:r>
              <w:rPr>
                <w:b w:val="false"/>
                <w:bCs w:val="false"/>
                <w:sz w:val="20"/>
                <w:szCs w:val="20"/>
              </w:rPr>
              <w:t xml:space="preserve">6.3 ×10³/µL (peak)</w:t>
            </w:r>
          </w:p>
        </w:tc>
        <w:tc>
          <w:tcPr>
            <w:tcW w:type="dxa" w:w="2700"/>
          </w:tcPr>
          <w:p>
            <w:r>
              <w:rPr>
                <w:b w:val="false"/>
                <w:bCs w:val="false"/>
                <w:sz w:val="20"/>
                <w:szCs w:val="20"/>
              </w:rPr>
              <w:t xml:space="preserve">Markedly Elevated</w:t>
            </w:r>
          </w:p>
        </w:tc>
      </w:tr>
      <w:tr>
        <w:tc>
          <w:tcPr>
            <w:tcW w:type="dxa" w:w="3500"/>
          </w:tcPr>
          <w:p>
            <w:r>
              <w:rPr>
                <w:b w:val="false"/>
                <w:bCs w:val="false"/>
                <w:sz w:val="20"/>
                <w:szCs w:val="20"/>
              </w:rPr>
              <w:t xml:space="preserve">ALT</w:t>
            </w:r>
          </w:p>
        </w:tc>
        <w:tc>
          <w:tcPr>
            <w:tcW w:type="dxa" w:w="3300"/>
          </w:tcPr>
          <w:p>
            <w:r>
              <w:rPr>
                <w:b w:val="false"/>
                <w:bCs w:val="false"/>
                <w:sz w:val="20"/>
                <w:szCs w:val="20"/>
              </w:rPr>
              <w:t xml:space="preserve">217 U/L (peak)</w:t>
            </w:r>
          </w:p>
        </w:tc>
        <w:tc>
          <w:tcPr>
            <w:tcW w:type="dxa" w:w="2700"/>
          </w:tcPr>
          <w:p>
            <w:r>
              <w:rPr>
                <w:b w:val="false"/>
                <w:bCs w:val="false"/>
                <w:sz w:val="20"/>
                <w:szCs w:val="20"/>
              </w:rPr>
              <w:t xml:space="preserve">High</w:t>
            </w:r>
          </w:p>
        </w:tc>
      </w:tr>
      <w:tr>
        <w:tc>
          <w:tcPr>
            <w:tcW w:type="dxa" w:w="3500"/>
          </w:tcPr>
          <w:p>
            <w:r>
              <w:rPr>
                <w:b w:val="false"/>
                <w:bCs w:val="false"/>
                <w:sz w:val="20"/>
                <w:szCs w:val="20"/>
              </w:rPr>
              <w:t xml:space="preserve">AST</w:t>
            </w:r>
          </w:p>
        </w:tc>
        <w:tc>
          <w:tcPr>
            <w:tcW w:type="dxa" w:w="3300"/>
          </w:tcPr>
          <w:p>
            <w:r>
              <w:rPr>
                <w:b w:val="false"/>
                <w:bCs w:val="false"/>
                <w:sz w:val="20"/>
                <w:szCs w:val="20"/>
              </w:rPr>
              <w:t xml:space="preserve">49 U/L</w:t>
            </w:r>
          </w:p>
        </w:tc>
        <w:tc>
          <w:tcPr>
            <w:tcW w:type="dxa" w:w="2700"/>
          </w:tcPr>
          <w:p>
            <w:r>
              <w:rPr>
                <w:b w:val="false"/>
                <w:bCs w:val="false"/>
                <w:sz w:val="20"/>
                <w:szCs w:val="20"/>
              </w:rPr>
              <w:t xml:space="preserve">High</w:t>
            </w:r>
          </w:p>
        </w:tc>
      </w:tr>
      <w:tr>
        <w:tc>
          <w:tcPr>
            <w:tcW w:type="dxa" w:w="3500"/>
          </w:tcPr>
          <w:p>
            <w:r>
              <w:rPr>
                <w:b w:val="false"/>
                <w:bCs w:val="false"/>
                <w:sz w:val="20"/>
                <w:szCs w:val="20"/>
              </w:rPr>
              <w:t xml:space="preserve">Serum Sodium</w:t>
            </w:r>
          </w:p>
        </w:tc>
        <w:tc>
          <w:tcPr>
            <w:tcW w:type="dxa" w:w="3300"/>
          </w:tcPr>
          <w:p>
            <w:r>
              <w:rPr>
                <w:b w:val="false"/>
                <w:bCs w:val="false"/>
                <w:sz w:val="20"/>
                <w:szCs w:val="20"/>
              </w:rPr>
              <w:t xml:space="preserve">129 mmol/L</w:t>
            </w:r>
          </w:p>
        </w:tc>
        <w:tc>
          <w:tcPr>
            <w:tcW w:type="dxa" w:w="2700"/>
          </w:tcPr>
          <w:p>
            <w:r>
              <w:rPr>
                <w:b w:val="false"/>
                <w:bCs w:val="false"/>
                <w:sz w:val="20"/>
                <w:szCs w:val="20"/>
              </w:rPr>
              <w:t xml:space="preserve">Low (Hyponatremia)</w:t>
            </w:r>
          </w:p>
        </w:tc>
      </w:tr>
      <w:tr>
        <w:tc>
          <w:tcPr>
            <w:tcW w:type="dxa" w:w="3500"/>
          </w:tcPr>
          <w:p>
            <w:r>
              <w:rPr>
                <w:b w:val="false"/>
                <w:bCs w:val="false"/>
                <w:sz w:val="20"/>
                <w:szCs w:val="20"/>
              </w:rPr>
              <w:t xml:space="preserve">Serum Creatinine</w:t>
            </w:r>
          </w:p>
        </w:tc>
        <w:tc>
          <w:tcPr>
            <w:tcW w:type="dxa" w:w="3300"/>
          </w:tcPr>
          <w:p>
            <w:r>
              <w:rPr>
                <w:b w:val="false"/>
                <w:bCs w:val="false"/>
                <w:sz w:val="20"/>
                <w:szCs w:val="20"/>
              </w:rPr>
              <w:t xml:space="preserve">7.58 mg/dL (peak)</w:t>
            </w:r>
          </w:p>
        </w:tc>
        <w:tc>
          <w:tcPr>
            <w:tcW w:type="dxa" w:w="2700"/>
          </w:tcPr>
          <w:p>
            <w:r>
              <w:rPr>
                <w:b w:val="false"/>
                <w:bCs w:val="false"/>
                <w:sz w:val="20"/>
                <w:szCs w:val="20"/>
              </w:rPr>
              <w:t xml:space="preserve">Severely Elevated</w:t>
            </w:r>
          </w:p>
        </w:tc>
      </w:tr>
      <w:tr>
        <w:tc>
          <w:tcPr>
            <w:tcW w:type="dxa" w:w="3500"/>
          </w:tcPr>
          <w:p>
            <w:r>
              <w:rPr>
                <w:b w:val="false"/>
                <w:bCs w:val="false"/>
                <w:sz w:val="20"/>
                <w:szCs w:val="20"/>
              </w:rPr>
              <w:t xml:space="preserve">eGFR</w:t>
            </w:r>
          </w:p>
        </w:tc>
        <w:tc>
          <w:tcPr>
            <w:tcW w:type="dxa" w:w="3300"/>
          </w:tcPr>
          <w:p>
            <w:r>
              <w:rPr>
                <w:b w:val="false"/>
                <w:bCs w:val="false"/>
                <w:sz w:val="20"/>
                <w:szCs w:val="20"/>
              </w:rPr>
              <w:t xml:space="preserve">9 mL/min/1.73m² (nadir)</w:t>
            </w:r>
          </w:p>
        </w:tc>
        <w:tc>
          <w:tcPr>
            <w:tcW w:type="dxa" w:w="2700"/>
          </w:tcPr>
          <w:p>
            <w:r>
              <w:rPr>
                <w:b w:val="false"/>
                <w:bCs w:val="false"/>
                <w:sz w:val="20"/>
                <w:szCs w:val="20"/>
              </w:rPr>
              <w:t xml:space="preserve">Severely Reduced</w:t>
            </w:r>
          </w:p>
        </w:tc>
      </w:tr>
      <w:tr>
        <w:tc>
          <w:tcPr>
            <w:tcW w:type="dxa" w:w="3500"/>
          </w:tcPr>
          <w:p>
            <w:r>
              <w:rPr>
                <w:b w:val="false"/>
                <w:bCs w:val="false"/>
                <w:sz w:val="20"/>
                <w:szCs w:val="20"/>
              </w:rPr>
              <w:t xml:space="preserve">Serum Albumin</w:t>
            </w:r>
          </w:p>
        </w:tc>
        <w:tc>
          <w:tcPr>
            <w:tcW w:type="dxa" w:w="3300"/>
          </w:tcPr>
          <w:p>
            <w:r>
              <w:rPr>
                <w:b w:val="false"/>
                <w:bCs w:val="false"/>
                <w:sz w:val="20"/>
                <w:szCs w:val="20"/>
              </w:rPr>
              <w:t xml:space="preserve">2.9 g/dL</w:t>
            </w:r>
          </w:p>
        </w:tc>
        <w:tc>
          <w:tcPr>
            <w:tcW w:type="dxa" w:w="2700"/>
          </w:tcPr>
          <w:p>
            <w:r>
              <w:rPr>
                <w:b w:val="false"/>
                <w:bCs w:val="false"/>
                <w:sz w:val="20"/>
                <w:szCs w:val="20"/>
              </w:rPr>
              <w:t xml:space="preserve">Low</w:t>
            </w:r>
          </w:p>
        </w:tc>
      </w:tr>
      <w:tr>
        <w:tc>
          <w:tcPr>
            <w:tcW w:type="dxa" w:w="3500"/>
          </w:tcPr>
          <w:p>
            <w:r>
              <w:rPr>
                <w:b w:val="false"/>
                <w:bCs w:val="false"/>
                <w:sz w:val="20"/>
                <w:szCs w:val="20"/>
              </w:rPr>
              <w:t xml:space="preserve">PT / INR</w:t>
            </w:r>
          </w:p>
        </w:tc>
        <w:tc>
          <w:tcPr>
            <w:tcW w:type="dxa" w:w="3300"/>
          </w:tcPr>
          <w:p>
            <w:r>
              <w:rPr>
                <w:b w:val="false"/>
                <w:bCs w:val="false"/>
                <w:sz w:val="20"/>
                <w:szCs w:val="20"/>
              </w:rPr>
              <w:t xml:space="preserve">16.8 sec / 1.38</w:t>
            </w:r>
          </w:p>
        </w:tc>
        <w:tc>
          <w:tcPr>
            <w:tcW w:type="dxa" w:w="2700"/>
          </w:tcPr>
          <w:p>
            <w:r>
              <w:rPr>
                <w:b w:val="false"/>
                <w:bCs w:val="false"/>
                <w:sz w:val="20"/>
                <w:szCs w:val="20"/>
              </w:rPr>
              <w:t xml:space="preserve">Elevated</w:t>
            </w:r>
          </w:p>
        </w:tc>
      </w:tr>
      <w:tr>
        <w:tc>
          <w:tcPr>
            <w:tcW w:type="dxa" w:w="3500"/>
          </w:tcPr>
          <w:p>
            <w:r>
              <w:rPr>
                <w:b w:val="false"/>
                <w:bCs w:val="false"/>
                <w:sz w:val="20"/>
                <w:szCs w:val="20"/>
              </w:rPr>
              <w:t xml:space="preserve">ESR</w:t>
            </w:r>
          </w:p>
        </w:tc>
        <w:tc>
          <w:tcPr>
            <w:tcW w:type="dxa" w:w="3300"/>
          </w:tcPr>
          <w:p>
            <w:r>
              <w:rPr>
                <w:b w:val="false"/>
                <w:bCs w:val="false"/>
                <w:sz w:val="20"/>
                <w:szCs w:val="20"/>
              </w:rPr>
              <w:t xml:space="preserve">19 mm/hr</w:t>
            </w:r>
          </w:p>
        </w:tc>
        <w:tc>
          <w:tcPr>
            <w:tcW w:type="dxa" w:w="2700"/>
          </w:tcPr>
          <w:p>
            <w:r>
              <w:rPr>
                <w:b w:val="false"/>
                <w:bCs w:val="false"/>
                <w:sz w:val="20"/>
                <w:szCs w:val="20"/>
              </w:rPr>
              <w:t xml:space="preserve">Elevated</w:t>
            </w:r>
          </w:p>
        </w:tc>
      </w:tr>
    </w:tbl>
    <w:p>
      <w:pPr>
        <w:spacing w:after="200"/>
      </w:pPr>
    </w:p>
    <w:p>
      <w:pPr>
        <w:spacing w:after="100" w:before="200"/>
      </w:pPr>
      <w:r>
        <w:rPr>
          <w:b/>
          <w:bCs/>
          <w:sz w:val="24"/>
          <w:szCs w:val="24"/>
        </w:rPr>
        <w:t xml:space="preserve">Seriousness Assessment</w:t>
      </w:r>
    </w:p>
    <w:p>
      <w:pPr>
        <w:spacing w:after="80"/>
      </w:pPr>
      <w:r>
        <w:rPr>
          <w:b w:val="false"/>
          <w:bCs w:val="false"/>
          <w:sz w:val="22"/>
          <w:szCs w:val="22"/>
        </w:rPr>
        <w:t xml:space="preserve">The case meets multiple seriousness criteria according to ICH E2D:</w:t>
      </w:r>
    </w:p>
    <w:p>
      <w:pPr>
        <w:spacing w:after="40"/>
      </w:pPr>
      <w:r>
        <w:rPr>
          <w:sz w:val="22"/>
          <w:szCs w:val="22"/>
        </w:rPr>
        <w:t xml:space="preserve">•  Hospitalization (two separate admissions)</w:t>
      </w:r>
    </w:p>
    <w:p>
      <w:pPr>
        <w:spacing w:after="40"/>
      </w:pPr>
      <w:r>
        <w:rPr>
          <w:sz w:val="22"/>
          <w:szCs w:val="22"/>
        </w:rPr>
        <w:t xml:space="preserve">•  Medically important event (biopsy-confirmed acute tubulointerstitial nephritis; AKIN Stage 3 renal failure)</w:t>
      </w:r>
    </w:p>
    <w:p>
      <w:pPr>
        <w:spacing w:after="40"/>
      </w:pPr>
      <w:r>
        <w:rPr>
          <w:sz w:val="22"/>
          <w:szCs w:val="22"/>
        </w:rPr>
        <w:t xml:space="preserve">•  Life-threatening (potentially) – DRESS syndrome carries an approximate 10% mortality rate; required intervention to prevent permanent organ damage</w:t>
      </w:r>
    </w:p>
    <w:p>
      <w:pPr>
        <w:spacing w:after="160"/>
      </w:pPr>
      <w:r>
        <w:rPr>
          <w:b/>
          <w:bCs/>
          <w:sz w:val="22"/>
          <w:szCs w:val="22"/>
        </w:rPr>
        <w:t xml:space="preserve">Overall Seriousness: Serious</w:t>
      </w:r>
    </w:p>
    <w:p>
      <w:pPr>
        <w:spacing w:after="100" w:before="200"/>
      </w:pPr>
      <w:r>
        <w:rPr>
          <w:b/>
          <w:bCs/>
          <w:sz w:val="24"/>
          <w:szCs w:val="24"/>
        </w:rPr>
        <w:t xml:space="preserve">Expectedness Assessment</w:t>
      </w:r>
    </w:p>
    <w:p>
      <w:pPr>
        <w:spacing w:after="80"/>
      </w:pPr>
      <w:r>
        <w:rPr>
          <w:b w:val="false"/>
          <w:bCs w:val="false"/>
          <w:sz w:val="22"/>
          <w:szCs w:val="22"/>
        </w:rPr>
        <w:t xml:space="preserve">Reference Safety Information (Product Label):</w:t>
      </w:r>
    </w:p>
    <w:p>
      <w:pPr>
        <w:spacing w:after="80"/>
      </w:pPr>
      <w:r>
        <w:rPr>
          <w:b w:val="false"/>
          <w:bCs w:val="false"/>
          <w:sz w:val="22"/>
          <w:szCs w:val="22"/>
        </w:rPr>
        <w:t xml:space="preserve">DRESS syndrome is a known, labeled adverse reaction of vancomycin; vancomycin is among the most frequently implicated causative agents for DRESS in published literature.</w:t>
      </w:r>
    </w:p>
    <w:p>
      <w:pPr>
        <w:spacing w:after="160"/>
      </w:pPr>
      <w:r>
        <w:rPr>
          <w:b/>
          <w:bCs/>
          <w:sz w:val="22"/>
          <w:szCs w:val="22"/>
        </w:rPr>
        <w:t xml:space="preserve">Classification: Expected Serious ADR</w:t>
      </w:r>
    </w:p>
    <w:p>
      <w:pPr>
        <w:spacing w:after="100" w:before="200"/>
      </w:pPr>
      <w:r>
        <w:rPr>
          <w:b/>
          <w:bCs/>
          <w:sz w:val="24"/>
          <w:szCs w:val="24"/>
        </w:rPr>
        <w:t xml:space="preserve">Causality Assessment (WHO-UMC)</w:t>
      </w:r>
    </w:p>
    <w:p>
      <w:pPr>
        <w:spacing w:after="80"/>
      </w:pPr>
      <w:r>
        <w:rPr>
          <w:b/>
          <w:bCs/>
          <w:sz w:val="22"/>
          <w:szCs w:val="22"/>
        </w:rPr>
        <w:t xml:space="preserve">Criteria: Assessment</w:t>
      </w:r>
    </w:p>
    <w:p>
      <w:pPr>
        <w:spacing w:after="80"/>
      </w:pPr>
      <w:r>
        <w:rPr>
          <w:b w:val="false"/>
          <w:bCs w:val="false"/>
          <w:sz w:val="22"/>
          <w:szCs w:val="22"/>
        </w:rPr>
        <w:t xml:space="preserve">Temporal relationship: Appropriate (onset ~5 weeks after initiation, within the typical 2–8 week DRESS latency window)</w:t>
      </w:r>
    </w:p>
    <w:p>
      <w:pPr>
        <w:spacing w:after="80"/>
      </w:pPr>
      <w:r>
        <w:rPr>
          <w:b w:val="false"/>
          <w:bCs w:val="false"/>
          <w:sz w:val="22"/>
          <w:szCs w:val="22"/>
        </w:rPr>
        <w:t xml:space="preserve">Alternative causes: None identified on renal biopsy (immunofluorescence and electron microscopy excluded immune-complex and glomerular disease; findings consistent with drug-induced tubulointerstitial nephritis)</w:t>
      </w:r>
    </w:p>
    <w:p>
      <w:pPr>
        <w:spacing w:after="80"/>
      </w:pPr>
      <w:r>
        <w:rPr>
          <w:b w:val="false"/>
          <w:bCs w:val="false"/>
          <w:sz w:val="22"/>
          <w:szCs w:val="22"/>
        </w:rPr>
        <w:t xml:space="preserve">Dechallenge: Positive (rash, eosinophilia, and transaminases improved after vancomycin discontinuation and corticosteroid therapy)</w:t>
      </w:r>
    </w:p>
    <w:p>
      <w:pPr>
        <w:spacing w:after="80"/>
      </w:pPr>
      <w:r>
        <w:rPr>
          <w:b w:val="false"/>
          <w:bCs w:val="false"/>
          <w:sz w:val="22"/>
          <w:szCs w:val="22"/>
        </w:rPr>
        <w:t xml:space="preserve">Rechallenge: Not performed</w:t>
      </w:r>
    </w:p>
    <w:p>
      <w:pPr>
        <w:spacing w:after="80"/>
      </w:pPr>
      <w:r>
        <w:rPr>
          <w:b w:val="false"/>
          <w:bCs w:val="false"/>
          <w:sz w:val="22"/>
          <w:szCs w:val="22"/>
        </w:rPr>
        <w:t xml:space="preserve">Previous evidence: Well established (vancomycin accounts for a large proportion of published DRESS cases)</w:t>
      </w:r>
    </w:p>
    <w:p>
      <w:pPr>
        <w:spacing w:after="160"/>
      </w:pPr>
      <w:r>
        <w:rPr>
          <w:b/>
          <w:bCs/>
          <w:sz w:val="22"/>
          <w:szCs w:val="22"/>
        </w:rPr>
        <w:t xml:space="preserve">WHO-UMC Category: Probable/Likely</w:t>
      </w:r>
    </w:p>
    <w:p>
      <w:pPr>
        <w:spacing w:after="100" w:before="200"/>
      </w:pPr>
      <w:r>
        <w:rPr>
          <w:b/>
          <w:bCs/>
          <w:sz w:val="24"/>
          <w:szCs w:val="24"/>
        </w:rPr>
        <w:t xml:space="preserve">Naranjo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300"/>
        <w:gridCol w:w="900"/>
        <w:gridCol w:w="900"/>
        <w:gridCol w:w="1200"/>
        <w:gridCol w:w="1200"/>
      </w:tblGrid>
      <w:tr>
        <w:tc>
          <w:tcPr>
            <w:tcW w:type="dxa" w:w="9500"/>
            <w:gridSpan w:val="5"/>
            <w:shd w:fill="BDD7EE" w:val="clear"/>
          </w:tcPr>
          <w:p>
            <w:pPr>
              <w:jc w:val="center"/>
            </w:pPr>
            <w:r>
              <w:rPr>
                <w:b/>
                <w:bCs/>
                <w:sz w:val="20"/>
                <w:szCs w:val="20"/>
              </w:rPr>
              <w:t xml:space="preserve">Naranjo Adverse Drug Reaction Probability Scale</w:t>
            </w:r>
          </w:p>
        </w:tc>
      </w:tr>
      <w:tr>
        <w:tc>
          <w:tcPr>
            <w:tcW w:type="dxa" w:w="5300"/>
            <w:shd w:fill="D9E2F3" w:val="clear"/>
          </w:tcPr>
          <w:p>
            <w:r>
              <w:rPr>
                <w:b/>
                <w:bCs/>
                <w:sz w:val="20"/>
                <w:szCs w:val="20"/>
              </w:rPr>
              <w:t xml:space="preserve">Question</w:t>
            </w:r>
          </w:p>
        </w:tc>
        <w:tc>
          <w:tcPr>
            <w:tcW w:type="dxa" w:w="900"/>
            <w:shd w:fill="D9E2F3" w:val="clear"/>
          </w:tcPr>
          <w:p>
            <w:r>
              <w:rPr>
                <w:b/>
                <w:bCs/>
                <w:sz w:val="20"/>
                <w:szCs w:val="20"/>
              </w:rPr>
              <w:t xml:space="preserve">Yes</w:t>
            </w:r>
          </w:p>
        </w:tc>
        <w:tc>
          <w:tcPr>
            <w:tcW w:type="dxa" w:w="900"/>
            <w:shd w:fill="D9E2F3" w:val="clear"/>
          </w:tcPr>
          <w:p>
            <w:r>
              <w:rPr>
                <w:b/>
                <w:bCs/>
                <w:sz w:val="20"/>
                <w:szCs w:val="20"/>
              </w:rPr>
              <w:t xml:space="preserve">No</w:t>
            </w:r>
          </w:p>
        </w:tc>
        <w:tc>
          <w:tcPr>
            <w:tcW w:type="dxa" w:w="1200"/>
            <w:shd w:fill="D9E2F3" w:val="clear"/>
          </w:tcPr>
          <w:p>
            <w:r>
              <w:rPr>
                <w:b/>
                <w:bCs/>
                <w:sz w:val="20"/>
                <w:szCs w:val="20"/>
              </w:rPr>
              <w:t xml:space="preserve">Do Not
Know</w:t>
            </w:r>
          </w:p>
        </w:tc>
        <w:tc>
          <w:tcPr>
            <w:tcW w:type="dxa" w:w="1200"/>
            <w:shd w:fill="D9E2F3" w:val="clear"/>
          </w:tcPr>
          <w:p>
            <w:r>
              <w:rPr>
                <w:b/>
                <w:bCs/>
                <w:sz w:val="20"/>
                <w:szCs w:val="20"/>
              </w:rPr>
              <w:t xml:space="preserve">Score</w:t>
            </w:r>
          </w:p>
        </w:tc>
      </w:tr>
      <w:tr>
        <w:tc>
          <w:tcPr>
            <w:tcW w:type="dxa" w:w="5300"/>
          </w:tcPr>
          <w:p>
            <w:r>
              <w:rPr>
                <w:b w:val="false"/>
                <w:bCs w:val="false"/>
                <w:sz w:val="20"/>
                <w:szCs w:val="20"/>
              </w:rPr>
              <w:t xml:space="preserve">1. Are there previous conclusive reports on this reaction?</w:t>
            </w:r>
          </w:p>
        </w:tc>
        <w:tc>
          <w:tcPr>
            <w:tcW w:type="dxa" w:w="900"/>
          </w:tcPr>
          <w:p>
            <w:r>
              <w:rPr>
                <w:b w:val="false"/>
                <w:bCs w:val="false"/>
                <w:sz w:val="20"/>
                <w:szCs w:val="20"/>
              </w:rPr>
              <w:t xml:space="preserve">+1</w:t>
            </w:r>
          </w:p>
        </w:tc>
        <w:tc>
          <w:tcPr>
            <w:tcW w:type="dxa" w:w="900"/>
          </w:tcPr>
          <w:p>
            <w:r>
              <w:rPr>
                <w:b w:val="false"/>
                <w:bCs w:val="false"/>
                <w:sz w:val="20"/>
                <w:szCs w:val="20"/>
              </w:rPr>
              <w:t xml:space="preserve">0</w:t>
            </w:r>
          </w:p>
        </w:tc>
        <w:tc>
          <w:tcPr>
            <w:tcW w:type="dxa" w:w="1200"/>
          </w:tcPr>
          <w:p>
            <w:r>
              <w:rPr>
                <w:b w:val="false"/>
                <w:bCs w:val="false"/>
                <w:sz w:val="20"/>
                <w:szCs w:val="20"/>
              </w:rPr>
              <w:t xml:space="preserve">0</w:t>
            </w:r>
          </w:p>
        </w:tc>
        <w:tc>
          <w:tcPr>
            <w:tcW w:type="dxa" w:w="1200"/>
          </w:tcPr>
          <w:p>
            <w:r>
              <w:rPr>
                <w:b w:val="false"/>
                <w:bCs w:val="false"/>
                <w:sz w:val="20"/>
                <w:szCs w:val="20"/>
              </w:rPr>
              <w:t xml:space="preserve">+1</w:t>
            </w:r>
          </w:p>
        </w:tc>
      </w:tr>
      <w:tr>
        <w:tc>
          <w:tcPr>
            <w:tcW w:type="dxa" w:w="5300"/>
          </w:tcPr>
          <w:p>
            <w:r>
              <w:rPr>
                <w:b w:val="false"/>
                <w:bCs w:val="false"/>
                <w:sz w:val="20"/>
                <w:szCs w:val="20"/>
              </w:rPr>
              <w:t xml:space="preserve">2. Did the adverse event appear after the suspected drug was administered?</w:t>
            </w:r>
          </w:p>
        </w:tc>
        <w:tc>
          <w:tcPr>
            <w:tcW w:type="dxa" w:w="900"/>
          </w:tcPr>
          <w:p>
            <w:r>
              <w:rPr>
                <w:b w:val="false"/>
                <w:bCs w:val="false"/>
                <w:sz w:val="20"/>
                <w:szCs w:val="20"/>
              </w:rPr>
              <w:t xml:space="preserve">+2</w:t>
            </w:r>
          </w:p>
        </w:tc>
        <w:tc>
          <w:tcPr>
            <w:tcW w:type="dxa" w:w="900"/>
          </w:tcPr>
          <w:p>
            <w:r>
              <w:rPr>
                <w:b w:val="false"/>
                <w:bCs w:val="false"/>
                <w:sz w:val="20"/>
                <w:szCs w:val="20"/>
              </w:rPr>
              <w:t xml:space="preserve">-1</w:t>
            </w:r>
          </w:p>
        </w:tc>
        <w:tc>
          <w:tcPr>
            <w:tcW w:type="dxa" w:w="1200"/>
          </w:tcPr>
          <w:p>
            <w:r>
              <w:rPr>
                <w:b w:val="false"/>
                <w:bCs w:val="false"/>
                <w:sz w:val="20"/>
                <w:szCs w:val="20"/>
              </w:rPr>
              <w:t xml:space="preserve">0</w:t>
            </w:r>
          </w:p>
        </w:tc>
        <w:tc>
          <w:tcPr>
            <w:tcW w:type="dxa" w:w="1200"/>
          </w:tcPr>
          <w:p>
            <w:r>
              <w:rPr>
                <w:b w:val="false"/>
                <w:bCs w:val="false"/>
                <w:sz w:val="20"/>
                <w:szCs w:val="20"/>
              </w:rPr>
              <w:t xml:space="preserve">+2</w:t>
            </w:r>
          </w:p>
        </w:tc>
      </w:tr>
      <w:tr>
        <w:tc>
          <w:tcPr>
            <w:tcW w:type="dxa" w:w="5300"/>
          </w:tcPr>
          <w:p>
            <w:r>
              <w:rPr>
                <w:b w:val="false"/>
                <w:bCs w:val="false"/>
                <w:sz w:val="20"/>
                <w:szCs w:val="20"/>
              </w:rPr>
              <w:t xml:space="preserve">3. Did the adverse reaction improve when the drug was discontinued or a specific antagonist was administered?</w:t>
            </w:r>
          </w:p>
        </w:tc>
        <w:tc>
          <w:tcPr>
            <w:tcW w:type="dxa" w:w="900"/>
          </w:tcPr>
          <w:p>
            <w:r>
              <w:rPr>
                <w:b w:val="false"/>
                <w:bCs w:val="false"/>
                <w:sz w:val="20"/>
                <w:szCs w:val="20"/>
              </w:rPr>
              <w:t xml:space="preserve">+1</w:t>
            </w:r>
          </w:p>
        </w:tc>
        <w:tc>
          <w:tcPr>
            <w:tcW w:type="dxa" w:w="900"/>
          </w:tcPr>
          <w:p>
            <w:r>
              <w:rPr>
                <w:b w:val="false"/>
                <w:bCs w:val="false"/>
                <w:sz w:val="20"/>
                <w:szCs w:val="20"/>
              </w:rPr>
              <w:t xml:space="preserve">0</w:t>
            </w:r>
          </w:p>
        </w:tc>
        <w:tc>
          <w:tcPr>
            <w:tcW w:type="dxa" w:w="1200"/>
          </w:tcPr>
          <w:p>
            <w:r>
              <w:rPr>
                <w:b w:val="false"/>
                <w:bCs w:val="false"/>
                <w:sz w:val="20"/>
                <w:szCs w:val="20"/>
              </w:rPr>
              <w:t xml:space="preserve">0</w:t>
            </w:r>
          </w:p>
        </w:tc>
        <w:tc>
          <w:tcPr>
            <w:tcW w:type="dxa" w:w="1200"/>
          </w:tcPr>
          <w:p>
            <w:r>
              <w:rPr>
                <w:b w:val="false"/>
                <w:bCs w:val="false"/>
                <w:sz w:val="20"/>
                <w:szCs w:val="20"/>
              </w:rPr>
              <w:t xml:space="preserve">+1</w:t>
            </w:r>
          </w:p>
        </w:tc>
      </w:tr>
      <w:tr>
        <w:tc>
          <w:tcPr>
            <w:tcW w:type="dxa" w:w="5300"/>
          </w:tcPr>
          <w:p>
            <w:r>
              <w:rPr>
                <w:b w:val="false"/>
                <w:bCs w:val="false"/>
                <w:sz w:val="20"/>
                <w:szCs w:val="20"/>
              </w:rPr>
              <w:t xml:space="preserve">4. Did the adverse event reappear when the drug was re-administered?</w:t>
            </w:r>
          </w:p>
        </w:tc>
        <w:tc>
          <w:tcPr>
            <w:tcW w:type="dxa" w:w="900"/>
          </w:tcPr>
          <w:p>
            <w:r>
              <w:rPr>
                <w:b w:val="false"/>
                <w:bCs w:val="false"/>
                <w:sz w:val="20"/>
                <w:szCs w:val="20"/>
              </w:rPr>
              <w:t xml:space="preserve">+2</w:t>
            </w:r>
          </w:p>
        </w:tc>
        <w:tc>
          <w:tcPr>
            <w:tcW w:type="dxa" w:w="900"/>
          </w:tcPr>
          <w:p>
            <w:r>
              <w:rPr>
                <w:b w:val="false"/>
                <w:bCs w:val="false"/>
                <w:sz w:val="20"/>
                <w:szCs w:val="20"/>
              </w:rPr>
              <w:t xml:space="preserve">-1</w:t>
            </w:r>
          </w:p>
        </w:tc>
        <w:tc>
          <w:tcPr>
            <w:tcW w:type="dxa" w:w="1200"/>
          </w:tcPr>
          <w:p>
            <w:r>
              <w:rPr>
                <w:b w:val="false"/>
                <w:bCs w:val="false"/>
                <w:sz w:val="20"/>
                <w:szCs w:val="20"/>
              </w:rPr>
              <w:t xml:space="preserve">0</w:t>
            </w:r>
          </w:p>
        </w:tc>
        <w:tc>
          <w:tcPr>
            <w:tcW w:type="dxa" w:w="1200"/>
          </w:tcPr>
          <w:p>
            <w:r>
              <w:rPr>
                <w:b w:val="false"/>
                <w:bCs w:val="false"/>
                <w:sz w:val="20"/>
                <w:szCs w:val="20"/>
              </w:rPr>
              <w:t xml:space="preserve">0</w:t>
            </w:r>
          </w:p>
        </w:tc>
      </w:tr>
      <w:tr>
        <w:tc>
          <w:tcPr>
            <w:tcW w:type="dxa" w:w="5300"/>
          </w:tcPr>
          <w:p>
            <w:r>
              <w:rPr>
                <w:b w:val="false"/>
                <w:bCs w:val="false"/>
                <w:sz w:val="20"/>
                <w:szCs w:val="20"/>
              </w:rPr>
              <w:t xml:space="preserve">5. Are there alternative causes (other than the drug) that could on their own have caused the reaction?</w:t>
            </w:r>
          </w:p>
        </w:tc>
        <w:tc>
          <w:tcPr>
            <w:tcW w:type="dxa" w:w="900"/>
          </w:tcPr>
          <w:p>
            <w:r>
              <w:rPr>
                <w:b w:val="false"/>
                <w:bCs w:val="false"/>
                <w:sz w:val="20"/>
                <w:szCs w:val="20"/>
              </w:rPr>
              <w:t xml:space="preserve">-1</w:t>
            </w:r>
          </w:p>
        </w:tc>
        <w:tc>
          <w:tcPr>
            <w:tcW w:type="dxa" w:w="900"/>
          </w:tcPr>
          <w:p>
            <w:r>
              <w:rPr>
                <w:b w:val="false"/>
                <w:bCs w:val="false"/>
                <w:sz w:val="20"/>
                <w:szCs w:val="20"/>
              </w:rPr>
              <w:t xml:space="preserve">+2</w:t>
            </w:r>
          </w:p>
        </w:tc>
        <w:tc>
          <w:tcPr>
            <w:tcW w:type="dxa" w:w="1200"/>
          </w:tcPr>
          <w:p>
            <w:r>
              <w:rPr>
                <w:b w:val="false"/>
                <w:bCs w:val="false"/>
                <w:sz w:val="20"/>
                <w:szCs w:val="20"/>
              </w:rPr>
              <w:t xml:space="preserve">0</w:t>
            </w:r>
          </w:p>
        </w:tc>
        <w:tc>
          <w:tcPr>
            <w:tcW w:type="dxa" w:w="1200"/>
          </w:tcPr>
          <w:p>
            <w:r>
              <w:rPr>
                <w:b w:val="false"/>
                <w:bCs w:val="false"/>
                <w:sz w:val="20"/>
                <w:szCs w:val="20"/>
              </w:rPr>
              <w:t xml:space="preserve">+2</w:t>
            </w:r>
          </w:p>
        </w:tc>
      </w:tr>
      <w:tr>
        <w:tc>
          <w:tcPr>
            <w:tcW w:type="dxa" w:w="5300"/>
          </w:tcPr>
          <w:p>
            <w:r>
              <w:rPr>
                <w:b w:val="false"/>
                <w:bCs w:val="false"/>
                <w:sz w:val="20"/>
                <w:szCs w:val="20"/>
              </w:rPr>
              <w:t xml:space="preserve">6. Did the reaction reappear when a placebo was given?</w:t>
            </w:r>
          </w:p>
        </w:tc>
        <w:tc>
          <w:tcPr>
            <w:tcW w:type="dxa" w:w="900"/>
          </w:tcPr>
          <w:p>
            <w:r>
              <w:rPr>
                <w:b w:val="false"/>
                <w:bCs w:val="false"/>
                <w:sz w:val="20"/>
                <w:szCs w:val="20"/>
              </w:rPr>
              <w:t xml:space="preserve">-1</w:t>
            </w:r>
          </w:p>
        </w:tc>
        <w:tc>
          <w:tcPr>
            <w:tcW w:type="dxa" w:w="900"/>
          </w:tcPr>
          <w:p>
            <w:r>
              <w:rPr>
                <w:b w:val="false"/>
                <w:bCs w:val="false"/>
                <w:sz w:val="20"/>
                <w:szCs w:val="20"/>
              </w:rPr>
              <w:t xml:space="preserve">+1</w:t>
            </w:r>
          </w:p>
        </w:tc>
        <w:tc>
          <w:tcPr>
            <w:tcW w:type="dxa" w:w="1200"/>
          </w:tcPr>
          <w:p>
            <w:r>
              <w:rPr>
                <w:b w:val="false"/>
                <w:bCs w:val="false"/>
                <w:sz w:val="20"/>
                <w:szCs w:val="20"/>
              </w:rPr>
              <w:t xml:space="preserve">0</w:t>
            </w:r>
          </w:p>
        </w:tc>
        <w:tc>
          <w:tcPr>
            <w:tcW w:type="dxa" w:w="1200"/>
          </w:tcPr>
          <w:p>
            <w:r>
              <w:rPr>
                <w:b w:val="false"/>
                <w:bCs w:val="false"/>
                <w:sz w:val="20"/>
                <w:szCs w:val="20"/>
              </w:rPr>
              <w:t xml:space="preserve">0</w:t>
            </w:r>
          </w:p>
        </w:tc>
      </w:tr>
      <w:tr>
        <w:tc>
          <w:tcPr>
            <w:tcW w:type="dxa" w:w="5300"/>
          </w:tcPr>
          <w:p>
            <w:r>
              <w:rPr>
                <w:b w:val="false"/>
                <w:bCs w:val="false"/>
                <w:sz w:val="20"/>
                <w:szCs w:val="20"/>
              </w:rPr>
              <w:t xml:space="preserve">7. Was the drug detected in blood (or other fluids) in concentrations known to be toxic?</w:t>
            </w:r>
          </w:p>
        </w:tc>
        <w:tc>
          <w:tcPr>
            <w:tcW w:type="dxa" w:w="900"/>
          </w:tcPr>
          <w:p>
            <w:r>
              <w:rPr>
                <w:b w:val="false"/>
                <w:bCs w:val="false"/>
                <w:sz w:val="20"/>
                <w:szCs w:val="20"/>
              </w:rPr>
              <w:t xml:space="preserve">+1</w:t>
            </w:r>
          </w:p>
        </w:tc>
        <w:tc>
          <w:tcPr>
            <w:tcW w:type="dxa" w:w="900"/>
          </w:tcPr>
          <w:p>
            <w:r>
              <w:rPr>
                <w:b w:val="false"/>
                <w:bCs w:val="false"/>
                <w:sz w:val="20"/>
                <w:szCs w:val="20"/>
              </w:rPr>
              <w:t xml:space="preserve">0</w:t>
            </w:r>
          </w:p>
        </w:tc>
        <w:tc>
          <w:tcPr>
            <w:tcW w:type="dxa" w:w="1200"/>
          </w:tcPr>
          <w:p>
            <w:r>
              <w:rPr>
                <w:b w:val="false"/>
                <w:bCs w:val="false"/>
                <w:sz w:val="20"/>
                <w:szCs w:val="20"/>
              </w:rPr>
              <w:t xml:space="preserve">0</w:t>
            </w:r>
          </w:p>
        </w:tc>
        <w:tc>
          <w:tcPr>
            <w:tcW w:type="dxa" w:w="1200"/>
          </w:tcPr>
          <w:p>
            <w:r>
              <w:rPr>
                <w:b w:val="false"/>
                <w:bCs w:val="false"/>
                <w:sz w:val="20"/>
                <w:szCs w:val="20"/>
              </w:rPr>
              <w:t xml:space="preserve">0</w:t>
            </w:r>
          </w:p>
        </w:tc>
      </w:tr>
      <w:tr>
        <w:tc>
          <w:tcPr>
            <w:tcW w:type="dxa" w:w="5300"/>
          </w:tcPr>
          <w:p>
            <w:r>
              <w:rPr>
                <w:b w:val="false"/>
                <w:bCs w:val="false"/>
                <w:sz w:val="20"/>
                <w:szCs w:val="20"/>
              </w:rPr>
              <w:t xml:space="preserve">8. Was the reaction more severe when the dose was increased or less severe when the dose was decreased?</w:t>
            </w:r>
          </w:p>
        </w:tc>
        <w:tc>
          <w:tcPr>
            <w:tcW w:type="dxa" w:w="900"/>
          </w:tcPr>
          <w:p>
            <w:r>
              <w:rPr>
                <w:b w:val="false"/>
                <w:bCs w:val="false"/>
                <w:sz w:val="20"/>
                <w:szCs w:val="20"/>
              </w:rPr>
              <w:t xml:space="preserve">+1</w:t>
            </w:r>
          </w:p>
        </w:tc>
        <w:tc>
          <w:tcPr>
            <w:tcW w:type="dxa" w:w="900"/>
          </w:tcPr>
          <w:p>
            <w:r>
              <w:rPr>
                <w:b w:val="false"/>
                <w:bCs w:val="false"/>
                <w:sz w:val="20"/>
                <w:szCs w:val="20"/>
              </w:rPr>
              <w:t xml:space="preserve">0</w:t>
            </w:r>
          </w:p>
        </w:tc>
        <w:tc>
          <w:tcPr>
            <w:tcW w:type="dxa" w:w="1200"/>
          </w:tcPr>
          <w:p>
            <w:r>
              <w:rPr>
                <w:b w:val="false"/>
                <w:bCs w:val="false"/>
                <w:sz w:val="20"/>
                <w:szCs w:val="20"/>
              </w:rPr>
              <w:t xml:space="preserve">0</w:t>
            </w:r>
          </w:p>
        </w:tc>
        <w:tc>
          <w:tcPr>
            <w:tcW w:type="dxa" w:w="1200"/>
          </w:tcPr>
          <w:p>
            <w:r>
              <w:rPr>
                <w:b w:val="false"/>
                <w:bCs w:val="false"/>
                <w:sz w:val="20"/>
                <w:szCs w:val="20"/>
              </w:rPr>
              <w:t xml:space="preserve">0</w:t>
            </w:r>
          </w:p>
        </w:tc>
      </w:tr>
      <w:tr>
        <w:tc>
          <w:tcPr>
            <w:tcW w:type="dxa" w:w="5300"/>
          </w:tcPr>
          <w:p>
            <w:r>
              <w:rPr>
                <w:b w:val="false"/>
                <w:bCs w:val="false"/>
                <w:sz w:val="20"/>
                <w:szCs w:val="20"/>
              </w:rPr>
              <w:t xml:space="preserve">9. Did the patient have a similar reaction to the same or similar drugs in any previous exposure?</w:t>
            </w:r>
          </w:p>
        </w:tc>
        <w:tc>
          <w:tcPr>
            <w:tcW w:type="dxa" w:w="900"/>
          </w:tcPr>
          <w:p>
            <w:r>
              <w:rPr>
                <w:b w:val="false"/>
                <w:bCs w:val="false"/>
                <w:sz w:val="20"/>
                <w:szCs w:val="20"/>
              </w:rPr>
              <w:t xml:space="preserve">+1</w:t>
            </w:r>
          </w:p>
        </w:tc>
        <w:tc>
          <w:tcPr>
            <w:tcW w:type="dxa" w:w="900"/>
          </w:tcPr>
          <w:p>
            <w:r>
              <w:rPr>
                <w:b w:val="false"/>
                <w:bCs w:val="false"/>
                <w:sz w:val="20"/>
                <w:szCs w:val="20"/>
              </w:rPr>
              <w:t xml:space="preserve">0</w:t>
            </w:r>
          </w:p>
        </w:tc>
        <w:tc>
          <w:tcPr>
            <w:tcW w:type="dxa" w:w="1200"/>
          </w:tcPr>
          <w:p>
            <w:r>
              <w:rPr>
                <w:b w:val="false"/>
                <w:bCs w:val="false"/>
                <w:sz w:val="20"/>
                <w:szCs w:val="20"/>
              </w:rPr>
              <w:t xml:space="preserve">0</w:t>
            </w:r>
          </w:p>
        </w:tc>
        <w:tc>
          <w:tcPr>
            <w:tcW w:type="dxa" w:w="1200"/>
          </w:tcPr>
          <w:p>
            <w:r>
              <w:rPr>
                <w:b w:val="false"/>
                <w:bCs w:val="false"/>
                <w:sz w:val="20"/>
                <w:szCs w:val="20"/>
              </w:rPr>
              <w:t xml:space="preserve">0</w:t>
            </w:r>
          </w:p>
        </w:tc>
      </w:tr>
      <w:tr>
        <w:tc>
          <w:tcPr>
            <w:tcW w:type="dxa" w:w="5300"/>
          </w:tcPr>
          <w:p>
            <w:r>
              <w:rPr>
                <w:b w:val="false"/>
                <w:bCs w:val="false"/>
                <w:sz w:val="20"/>
                <w:szCs w:val="20"/>
              </w:rPr>
              <w:t xml:space="preserve">10. Was the adverse event confirmed by any objective evidence?</w:t>
            </w:r>
          </w:p>
        </w:tc>
        <w:tc>
          <w:tcPr>
            <w:tcW w:type="dxa" w:w="900"/>
          </w:tcPr>
          <w:p>
            <w:r>
              <w:rPr>
                <w:b w:val="false"/>
                <w:bCs w:val="false"/>
                <w:sz w:val="20"/>
                <w:szCs w:val="20"/>
              </w:rPr>
              <w:t xml:space="preserve">+1</w:t>
            </w:r>
          </w:p>
        </w:tc>
        <w:tc>
          <w:tcPr>
            <w:tcW w:type="dxa" w:w="900"/>
          </w:tcPr>
          <w:p>
            <w:r>
              <w:rPr>
                <w:b w:val="false"/>
                <w:bCs w:val="false"/>
                <w:sz w:val="20"/>
                <w:szCs w:val="20"/>
              </w:rPr>
              <w:t xml:space="preserve">0</w:t>
            </w:r>
          </w:p>
        </w:tc>
        <w:tc>
          <w:tcPr>
            <w:tcW w:type="dxa" w:w="1200"/>
          </w:tcPr>
          <w:p>
            <w:r>
              <w:rPr>
                <w:b w:val="false"/>
                <w:bCs w:val="false"/>
                <w:sz w:val="20"/>
                <w:szCs w:val="20"/>
              </w:rPr>
              <w:t xml:space="preserve">0</w:t>
            </w:r>
          </w:p>
        </w:tc>
        <w:tc>
          <w:tcPr>
            <w:tcW w:type="dxa" w:w="1200"/>
          </w:tcPr>
          <w:p>
            <w:r>
              <w:rPr>
                <w:b w:val="false"/>
                <w:bCs w:val="false"/>
                <w:sz w:val="20"/>
                <w:szCs w:val="20"/>
              </w:rPr>
              <w:t xml:space="preserve">+1</w:t>
            </w:r>
          </w:p>
        </w:tc>
      </w:tr>
      <w:tr>
        <w:tc>
          <w:tcPr>
            <w:tcW w:type="dxa" w:w="8300"/>
            <w:gridSpan w:val="4"/>
            <w:shd w:fill="D9E2F3" w:val="clear"/>
          </w:tcPr>
          <w:p>
            <w:r>
              <w:rPr>
                <w:b/>
                <w:bCs/>
                <w:sz w:val="20"/>
                <w:szCs w:val="20"/>
              </w:rPr>
              <w:t xml:space="preserve">TOTAL SCORE:</w:t>
            </w:r>
          </w:p>
        </w:tc>
        <w:tc>
          <w:tcPr>
            <w:tcW w:type="dxa" w:w="1200"/>
            <w:shd w:fill="D9E2F3" w:val="clear"/>
          </w:tcPr>
          <w:p>
            <w:r>
              <w:rPr>
                <w:b/>
                <w:bCs/>
                <w:sz w:val="20"/>
                <w:szCs w:val="20"/>
              </w:rPr>
              <w:t xml:space="preserve">7</w:t>
            </w:r>
          </w:p>
        </w:tc>
      </w:tr>
    </w:tbl>
    <w:p>
      <w:pPr>
        <w:spacing w:after="100"/>
      </w:pPr>
    </w:p>
    <w:p>
      <w:pPr>
        <w:spacing w:after="160"/>
      </w:pPr>
      <w:r>
        <w:rPr>
          <w:b/>
          <w:bCs/>
          <w:sz w:val="22"/>
          <w:szCs w:val="22"/>
        </w:rPr>
        <w:t xml:space="preserve">Probable ADR (Score: 7)</w:t>
      </w:r>
    </w:p>
    <w:p>
      <w:pPr>
        <w:spacing w:after="100" w:before="200"/>
      </w:pPr>
      <w:r>
        <w:rPr>
          <w:b/>
          <w:bCs/>
          <w:sz w:val="24"/>
          <w:szCs w:val="24"/>
        </w:rPr>
        <w:t xml:space="preserve">Severity Assessment (Hartwig and Siegel Scale)</w:t>
      </w:r>
    </w:p>
    <w:p>
      <w:pPr>
        <w:spacing w:after="80"/>
      </w:pPr>
      <w:r>
        <w:rPr>
          <w:b/>
          <w:bCs/>
          <w:sz w:val="22"/>
          <w:szCs w:val="22"/>
        </w:rPr>
        <w:t xml:space="preserve">Level 6</w:t>
      </w:r>
    </w:p>
    <w:p>
      <w:pPr>
        <w:spacing w:after="80"/>
      </w:pPr>
      <w:r>
        <w:rPr>
          <w:b w:val="false"/>
          <w:bCs w:val="false"/>
          <w:sz w:val="22"/>
          <w:szCs w:val="22"/>
        </w:rPr>
        <w:t xml:space="preserve">Reason:</w:t>
      </w:r>
    </w:p>
    <w:p>
      <w:pPr>
        <w:spacing w:after="40"/>
      </w:pPr>
      <w:r>
        <w:rPr>
          <w:sz w:val="22"/>
          <w:szCs w:val="22"/>
        </w:rPr>
        <w:t xml:space="preserve">•  Required repeated hospitalization</w:t>
      </w:r>
    </w:p>
    <w:p>
      <w:pPr>
        <w:spacing w:after="40"/>
      </w:pPr>
      <w:r>
        <w:rPr>
          <w:sz w:val="22"/>
          <w:szCs w:val="22"/>
        </w:rPr>
        <w:t xml:space="preserve">•  Required intensive pharmacological treatment (high-dose systemic corticosteroids, IV fluid resuscitation)</w:t>
      </w:r>
    </w:p>
    <w:p>
      <w:pPr>
        <w:spacing w:after="40"/>
      </w:pPr>
      <w:r>
        <w:rPr>
          <w:sz w:val="22"/>
          <w:szCs w:val="22"/>
        </w:rPr>
        <w:t xml:space="preserve">•  Biopsy-confirmed organ damage with severe, prolonged renal dysfunction (AKIN Stage 3 / RIFLE “Renal Failure”)</w:t>
      </w:r>
    </w:p>
    <w:p>
      <w:pPr>
        <w:spacing w:after="160"/>
      </w:pPr>
      <w:r>
        <w:rPr>
          <w:b/>
          <w:bCs/>
          <w:sz w:val="22"/>
          <w:szCs w:val="22"/>
        </w:rPr>
        <w:t xml:space="preserve">Severity Classification: Severe</w:t>
      </w:r>
    </w:p>
    <w:p>
      <w:pPr>
        <w:spacing w:after="100" w:before="200"/>
      </w:pPr>
      <w:r>
        <w:rPr>
          <w:b/>
          <w:bCs/>
          <w:sz w:val="24"/>
          <w:szCs w:val="24"/>
        </w:rPr>
        <w:t xml:space="preserve">Pharmacovigilance Assessment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c>
          <w:tcPr>
            <w:tcW w:type="dxa" w:w="3300"/>
            <w:shd w:fill="D9E2F3" w:val="clear"/>
          </w:tcPr>
          <w:p>
            <w:r>
              <w:rPr>
                <w:b/>
                <w:bCs/>
                <w:sz w:val="20"/>
                <w:szCs w:val="20"/>
              </w:rPr>
              <w:t xml:space="preserve">Parameter</w:t>
            </w:r>
          </w:p>
        </w:tc>
        <w:tc>
          <w:tcPr>
            <w:tcW w:type="dxa" w:w="6200"/>
            <w:shd w:fill="D9E2F3" w:val="clear"/>
          </w:tcPr>
          <w:p>
            <w:r>
              <w:rPr>
                <w:b/>
                <w:bCs/>
                <w:sz w:val="20"/>
                <w:szCs w:val="20"/>
              </w:rPr>
              <w:t xml:space="preserve">Assessment</w:t>
            </w:r>
          </w:p>
        </w:tc>
      </w:tr>
      <w:tr>
        <w:tc>
          <w:tcPr>
            <w:tcW w:type="dxa" w:w="3300"/>
          </w:tcPr>
          <w:p>
            <w:r>
              <w:rPr>
                <w:b w:val="false"/>
                <w:bCs w:val="false"/>
                <w:sz w:val="20"/>
                <w:szCs w:val="20"/>
              </w:rPr>
              <w:t xml:space="preserve">Suspected Drug</w:t>
            </w:r>
          </w:p>
        </w:tc>
        <w:tc>
          <w:tcPr>
            <w:tcW w:type="dxa" w:w="6200"/>
          </w:tcPr>
          <w:p>
            <w:r>
              <w:rPr>
                <w:b w:val="false"/>
                <w:bCs w:val="false"/>
                <w:sz w:val="20"/>
                <w:szCs w:val="20"/>
              </w:rPr>
              <w:t xml:space="preserve">Vancomycin (intravenous, via PICC line)</w:t>
            </w:r>
          </w:p>
        </w:tc>
      </w:tr>
      <w:tr>
        <w:tc>
          <w:tcPr>
            <w:tcW w:type="dxa" w:w="3300"/>
          </w:tcPr>
          <w:p>
            <w:r>
              <w:rPr>
                <w:b w:val="false"/>
                <w:bCs w:val="false"/>
                <w:sz w:val="20"/>
                <w:szCs w:val="20"/>
              </w:rPr>
              <w:t xml:space="preserve">Indication</w:t>
            </w:r>
          </w:p>
        </w:tc>
        <w:tc>
          <w:tcPr>
            <w:tcW w:type="dxa" w:w="6200"/>
          </w:tcPr>
          <w:p>
            <w:r>
              <w:rPr>
                <w:b w:val="false"/>
                <w:bCs w:val="false"/>
                <w:sz w:val="20"/>
                <w:szCs w:val="20"/>
              </w:rPr>
              <w:t xml:space="preserve">Post-surgical osteomyelitis (right ankle, following reconstructive surgery)</w:t>
            </w:r>
          </w:p>
        </w:tc>
      </w:tr>
      <w:tr>
        <w:tc>
          <w:tcPr>
            <w:tcW w:type="dxa" w:w="3300"/>
          </w:tcPr>
          <w:p>
            <w:r>
              <w:rPr>
                <w:b w:val="false"/>
                <w:bCs w:val="false"/>
                <w:sz w:val="20"/>
                <w:szCs w:val="20"/>
              </w:rPr>
              <w:t xml:space="preserve">Adverse Drug Reaction</w:t>
            </w:r>
          </w:p>
        </w:tc>
        <w:tc>
          <w:tcPr>
            <w:tcW w:type="dxa" w:w="6200"/>
          </w:tcPr>
          <w:p>
            <w:r>
              <w:rPr>
                <w:b w:val="false"/>
                <w:bCs w:val="false"/>
                <w:sz w:val="20"/>
                <w:szCs w:val="20"/>
              </w:rPr>
              <w:t xml:space="preserve">Drug Reaction with Eosinophilia and Systemic Symptoms (DRESS syndrome) with associated Acute Kidney Injury (biopsy-confirmed acute tubulointerstitial nephritis)</w:t>
            </w:r>
          </w:p>
        </w:tc>
      </w:tr>
      <w:tr>
        <w:tc>
          <w:tcPr>
            <w:tcW w:type="dxa" w:w="3300"/>
          </w:tcPr>
          <w:p>
            <w:r>
              <w:rPr>
                <w:b w:val="false"/>
                <w:bCs w:val="false"/>
                <w:sz w:val="20"/>
                <w:szCs w:val="20"/>
              </w:rPr>
              <w:t xml:space="preserve">Time to Onset</w:t>
            </w:r>
          </w:p>
        </w:tc>
        <w:tc>
          <w:tcPr>
            <w:tcW w:type="dxa" w:w="6200"/>
          </w:tcPr>
          <w:p>
            <w:r>
              <w:rPr>
                <w:b w:val="false"/>
                <w:bCs w:val="false"/>
                <w:sz w:val="20"/>
                <w:szCs w:val="20"/>
              </w:rPr>
              <w:t xml:space="preserve">Approximately 5 weeks after starting therapy</w:t>
            </w:r>
          </w:p>
        </w:tc>
      </w:tr>
      <w:tr>
        <w:tc>
          <w:tcPr>
            <w:tcW w:type="dxa" w:w="3300"/>
          </w:tcPr>
          <w:p>
            <w:r>
              <w:rPr>
                <w:b w:val="false"/>
                <w:bCs w:val="false"/>
                <w:sz w:val="20"/>
                <w:szCs w:val="20"/>
              </w:rPr>
              <w:t xml:space="preserve">Dechallenge</w:t>
            </w:r>
          </w:p>
        </w:tc>
        <w:tc>
          <w:tcPr>
            <w:tcW w:type="dxa" w:w="6200"/>
          </w:tcPr>
          <w:p>
            <w:r>
              <w:rPr>
                <w:b w:val="false"/>
                <w:bCs w:val="false"/>
                <w:sz w:val="20"/>
                <w:szCs w:val="20"/>
              </w:rPr>
              <w:t xml:space="preserve">Positive (vancomycin discontinued; rash, eosinophilia and transaminases gradually improved)</w:t>
            </w:r>
          </w:p>
        </w:tc>
      </w:tr>
      <w:tr>
        <w:tc>
          <w:tcPr>
            <w:tcW w:type="dxa" w:w="3300"/>
          </w:tcPr>
          <w:p>
            <w:r>
              <w:rPr>
                <w:b w:val="false"/>
                <w:bCs w:val="false"/>
                <w:sz w:val="20"/>
                <w:szCs w:val="20"/>
              </w:rPr>
              <w:t xml:space="preserve">Rechallenge</w:t>
            </w:r>
          </w:p>
        </w:tc>
        <w:tc>
          <w:tcPr>
            <w:tcW w:type="dxa" w:w="6200"/>
          </w:tcPr>
          <w:p>
            <w:r>
              <w:rPr>
                <w:b w:val="false"/>
                <w:bCs w:val="false"/>
                <w:sz w:val="20"/>
                <w:szCs w:val="20"/>
              </w:rPr>
              <w:t xml:space="preserve">Not performed (contraindicated)</w:t>
            </w:r>
          </w:p>
        </w:tc>
      </w:tr>
      <w:tr>
        <w:tc>
          <w:tcPr>
            <w:tcW w:type="dxa" w:w="3300"/>
          </w:tcPr>
          <w:p>
            <w:r>
              <w:rPr>
                <w:b w:val="false"/>
                <w:bCs w:val="false"/>
                <w:sz w:val="20"/>
                <w:szCs w:val="20"/>
              </w:rPr>
              <w:t xml:space="preserve">Seriousness</w:t>
            </w:r>
          </w:p>
        </w:tc>
        <w:tc>
          <w:tcPr>
            <w:tcW w:type="dxa" w:w="6200"/>
          </w:tcPr>
          <w:p>
            <w:r>
              <w:rPr>
                <w:b w:val="false"/>
                <w:bCs w:val="false"/>
                <w:sz w:val="20"/>
                <w:szCs w:val="20"/>
              </w:rPr>
              <w:t xml:space="preserve">Serious (required repeated hospitalization, life-threatening potential, biopsy-confirmed organ damage)</w:t>
            </w:r>
          </w:p>
        </w:tc>
      </w:tr>
      <w:tr>
        <w:tc>
          <w:tcPr>
            <w:tcW w:type="dxa" w:w="3300"/>
          </w:tcPr>
          <w:p>
            <w:r>
              <w:rPr>
                <w:b w:val="false"/>
                <w:bCs w:val="false"/>
                <w:sz w:val="20"/>
                <w:szCs w:val="20"/>
              </w:rPr>
              <w:t xml:space="preserve">Expectedness</w:t>
            </w:r>
          </w:p>
        </w:tc>
        <w:tc>
          <w:tcPr>
            <w:tcW w:type="dxa" w:w="6200"/>
          </w:tcPr>
          <w:p>
            <w:r>
              <w:rPr>
                <w:b w:val="false"/>
                <w:bCs w:val="false"/>
                <w:sz w:val="20"/>
                <w:szCs w:val="20"/>
              </w:rPr>
              <w:t xml:space="preserve">Expected (listed in product labeling; vancomycin is a well-recognized cause of DRESS)</w:t>
            </w:r>
          </w:p>
        </w:tc>
      </w:tr>
      <w:tr>
        <w:tc>
          <w:tcPr>
            <w:tcW w:type="dxa" w:w="3300"/>
          </w:tcPr>
          <w:p>
            <w:r>
              <w:rPr>
                <w:b w:val="false"/>
                <w:bCs w:val="false"/>
                <w:sz w:val="20"/>
                <w:szCs w:val="20"/>
              </w:rPr>
              <w:t xml:space="preserve">WHO-UMC Causality</w:t>
            </w:r>
          </w:p>
        </w:tc>
        <w:tc>
          <w:tcPr>
            <w:tcW w:type="dxa" w:w="6200"/>
          </w:tcPr>
          <w:p>
            <w:r>
              <w:rPr>
                <w:b w:val="false"/>
                <w:bCs w:val="false"/>
                <w:sz w:val="20"/>
                <w:szCs w:val="20"/>
              </w:rPr>
              <w:t xml:space="preserve">Probable/Likely</w:t>
            </w:r>
          </w:p>
        </w:tc>
      </w:tr>
      <w:tr>
        <w:tc>
          <w:tcPr>
            <w:tcW w:type="dxa" w:w="3300"/>
          </w:tcPr>
          <w:p>
            <w:r>
              <w:rPr>
                <w:b w:val="false"/>
                <w:bCs w:val="false"/>
                <w:sz w:val="20"/>
                <w:szCs w:val="20"/>
              </w:rPr>
              <w:t xml:space="preserve">Naranjo Score</w:t>
            </w:r>
          </w:p>
        </w:tc>
        <w:tc>
          <w:tcPr>
            <w:tcW w:type="dxa" w:w="6200"/>
          </w:tcPr>
          <w:p>
            <w:r>
              <w:rPr>
                <w:b w:val="false"/>
                <w:bCs w:val="false"/>
                <w:sz w:val="20"/>
                <w:szCs w:val="20"/>
              </w:rPr>
              <w:t xml:space="preserve">7 (Probable)</w:t>
            </w:r>
          </w:p>
        </w:tc>
      </w:tr>
      <w:tr>
        <w:tc>
          <w:tcPr>
            <w:tcW w:type="dxa" w:w="3300"/>
          </w:tcPr>
          <w:p>
            <w:r>
              <w:rPr>
                <w:b w:val="false"/>
                <w:bCs w:val="false"/>
                <w:sz w:val="20"/>
                <w:szCs w:val="20"/>
              </w:rPr>
              <w:t xml:space="preserve">Hartwig Severity</w:t>
            </w:r>
          </w:p>
        </w:tc>
        <w:tc>
          <w:tcPr>
            <w:tcW w:type="dxa" w:w="6200"/>
          </w:tcPr>
          <w:p>
            <w:r>
              <w:rPr>
                <w:b w:val="false"/>
                <w:bCs w:val="false"/>
                <w:sz w:val="20"/>
                <w:szCs w:val="20"/>
              </w:rPr>
              <w:t xml:space="preserve">Level 6 – Severe</w:t>
            </w:r>
          </w:p>
        </w:tc>
      </w:tr>
      <w:tr>
        <w:tc>
          <w:tcPr>
            <w:tcW w:type="dxa" w:w="3300"/>
          </w:tcPr>
          <w:p>
            <w:r>
              <w:rPr>
                <w:b w:val="false"/>
                <w:bCs w:val="false"/>
                <w:sz w:val="20"/>
                <w:szCs w:val="20"/>
              </w:rPr>
              <w:t xml:space="preserve">Outcome</w:t>
            </w:r>
          </w:p>
        </w:tc>
        <w:tc>
          <w:tcPr>
            <w:tcW w:type="dxa" w:w="6200"/>
          </w:tcPr>
          <w:p>
            <w:r>
              <w:rPr>
                <w:b w:val="false"/>
                <w:bCs w:val="false"/>
                <w:sz w:val="20"/>
                <w:szCs w:val="20"/>
              </w:rPr>
              <w:t xml:space="preserve">Recovering with residual renal impairment at discharge; continued outpatient monitoring of AKI recovery</w:t>
            </w:r>
          </w:p>
        </w:tc>
      </w:tr>
    </w:tbl>
    <w:p>
      <w:pPr>
        <w:spacing w:after="200"/>
      </w:pPr>
    </w:p>
    <w:p>
      <w:pPr>
        <w:spacing w:after="100" w:before="200"/>
      </w:pPr>
      <w:r>
        <w:rPr>
          <w:b/>
          <w:bCs/>
          <w:sz w:val="24"/>
          <w:szCs w:val="24"/>
        </w:rPr>
        <w:t xml:space="preserve">Regulatory Reporting Decision</w:t>
      </w:r>
    </w:p>
    <w:p>
      <w:pPr>
        <w:spacing w:after="80"/>
      </w:pPr>
      <w:r>
        <w:rPr>
          <w:b w:val="false"/>
          <w:bCs w:val="false"/>
          <w:sz w:val="22"/>
          <w:szCs w:val="22"/>
        </w:rPr>
        <w:t xml:space="preserve">This case qualifies as an Individual Case Safety Report (ICSR) because it involves:</w:t>
      </w:r>
    </w:p>
    <w:p>
      <w:pPr>
        <w:spacing w:after="40"/>
      </w:pPr>
      <w:r>
        <w:rPr>
          <w:sz w:val="22"/>
          <w:szCs w:val="22"/>
        </w:rPr>
        <w:t xml:space="preserve">•  A serious adverse drug reaction.</w:t>
      </w:r>
    </w:p>
    <w:p>
      <w:pPr>
        <w:spacing w:after="40"/>
      </w:pPr>
      <w:r>
        <w:rPr>
          <w:sz w:val="22"/>
          <w:szCs w:val="22"/>
        </w:rPr>
        <w:t xml:space="preserve">•  Repeated hospitalization and biopsy-confirmed severe organ dysfunction.</w:t>
      </w:r>
    </w:p>
    <w:p>
      <w:pPr>
        <w:spacing w:after="40"/>
      </w:pPr>
      <w:r>
        <w:rPr>
          <w:sz w:val="22"/>
          <w:szCs w:val="22"/>
        </w:rPr>
        <w:t xml:space="preserve">•  A medically important event requiring prompt, intensive treatment.</w:t>
      </w:r>
    </w:p>
    <w:p>
      <w:pPr>
        <w:spacing w:after="40"/>
      </w:pPr>
      <w:r>
        <w:rPr>
          <w:sz w:val="22"/>
          <w:szCs w:val="22"/>
        </w:rPr>
        <w:t xml:space="preserve">•  A reasonable causal relationship with the suspected drug.</w:t>
      </w:r>
    </w:p>
    <w:p>
      <w:pPr>
        <w:spacing w:after="300"/>
      </w:pPr>
      <w:r>
        <w:rPr>
          <w:b w:val="false"/>
          <w:bCs w:val="false"/>
          <w:sz w:val="22"/>
          <w:szCs w:val="22"/>
        </w:rPr>
        <w:t xml:space="preserve">According to standard pharmacovigilance practice (e.g., ICH E2D and national PV systems such as the Pharmacovigilance Programme of India), it should be reported as an expedited serious ICSR within the required regulatory timelines.</w:t>
      </w:r>
    </w:p>
    <w:p>
      <w:pPr>
        <w:spacing w:after="300"/>
      </w:pPr>
    </w:p>
    <w:p>
      <w:pPr>
        <w:jc w:val="right"/>
      </w:pPr>
      <w:r>
        <w:rPr>
          <w:b/>
          <w:bCs/>
          <w:sz w:val="22"/>
          <w:szCs w:val="22"/>
        </w:rPr>
        <w:t xml:space="preserve">SANGEETHA</w:t>
      </w:r>
    </w:p>
    <w:p>
      <w:pPr>
        <w:jc w:val="right"/>
      </w:pPr>
      <w:r>
        <w:rPr>
          <w:sz w:val="22"/>
          <w:szCs w:val="22"/>
        </w:rPr>
        <w:t xml:space="preserve">8247304381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2026-07-18T01:50:06.542Z</dcterms:created>
  <dcterms:modified xsi:type="dcterms:W3CDTF">2026-07-18T01:50:06.559Z</dcterms:modified>
</cp:coreProperties>
</file>

<file path=docProps/custom.xml><?xml version="1.0" encoding="utf-8"?>
<Properties xmlns="http://schemas.openxmlformats.org/officeDocument/2006/custom-properties" xmlns:vt="http://schemas.openxmlformats.org/officeDocument/2006/docPropsVTypes"/>
</file>