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b/>
          <w:bCs/>
          <w:sz w:val="28"/>
          <w:szCs w:val="28"/>
        </w:rPr>
        <w:t xml:space="preserve">Case Report: Serious Expected Adverse Drug Reaction Following Remimazolam (Byfavo®) Administration</w:t>
      </w:r>
    </w:p>
    <w:p>
      <w:pPr>
        <w:spacing w:after="120" w:before="240"/>
      </w:pPr>
      <w:r>
        <w:rPr>
          <w:b/>
          <w:bCs/>
          <w:sz w:val="26"/>
          <w:szCs w:val="26"/>
        </w:rPr>
        <w:t xml:space="preserve">Patient Information</w:t>
      </w:r>
    </w:p>
    <w:p>
      <w:pPr>
        <w:spacing w:after="100"/>
      </w:pPr>
      <w:r>
        <w:rPr>
          <w:b w:val="false"/>
          <w:bCs w:val="false"/>
          <w:sz w:val="22"/>
          <w:szCs w:val="22"/>
        </w:rPr>
        <w:t xml:space="preserve">A 77-year-old man with oncologic mastocytosis presented to the interventional procedure suite for placement of a central line as part of his oncologic care. He had a documented history of left bundle branch block noted on baseline electrocardiogram, but no prior history of anaphylaxis, drug allergy, or adverse reaction to sedative or anesthetic agents. He had previously undergone procedures without incident.</w:t>
      </w:r>
    </w:p>
    <w:p>
      <w:pPr>
        <w:spacing w:after="100"/>
      </w:pPr>
      <w:r>
        <w:rPr>
          <w:b w:val="false"/>
          <w:bCs w:val="false"/>
          <w:sz w:val="22"/>
          <w:szCs w:val="22"/>
        </w:rPr>
        <w:t xml:space="preserve">Immediately before the procedure, the patient was at his baseline health status, with normal laboratory values and stable vital signs. Standard anesthesiology monitors were applied, and sterile draping was performed in preparation for central line insertion; the patient became notably anxious during draping.</w:t>
      </w:r>
    </w:p>
    <w:p>
      <w:pPr>
        <w:spacing w:after="120" w:before="240"/>
      </w:pPr>
      <w:r>
        <w:rPr>
          <w:b/>
          <w:bCs/>
          <w:sz w:val="26"/>
          <w:szCs w:val="26"/>
        </w:rPr>
        <w:t xml:space="preserve">Medication History</w:t>
      </w:r>
    </w:p>
    <w:p>
      <w:pPr>
        <w:spacing w:after="100"/>
      </w:pPr>
      <w:r>
        <w:rPr>
          <w:b w:val="false"/>
          <w:bCs w:val="false"/>
          <w:sz w:val="22"/>
          <w:szCs w:val="22"/>
        </w:rPr>
        <w:t xml:space="preserve">At the time of the event, the patient's home medications included:</w:t>
      </w:r>
    </w:p>
    <w:p>
      <w:pPr>
        <w:spacing w:after="40"/>
      </w:pPr>
      <w:r>
        <w:rPr>
          <w:sz w:val="22"/>
          <w:szCs w:val="22"/>
        </w:rPr>
        <w:t xml:space="preserve">•  Amiodarone (Pacerone®) 200 mg orally once daily</w:t>
      </w:r>
    </w:p>
    <w:p>
      <w:pPr>
        <w:spacing w:after="40"/>
      </w:pPr>
      <w:r>
        <w:rPr>
          <w:sz w:val="22"/>
          <w:szCs w:val="22"/>
        </w:rPr>
        <w:t xml:space="preserve">•  Valacyclovir (Valtrex®) 500 mg orally every other day</w:t>
      </w:r>
    </w:p>
    <w:p>
      <w:pPr>
        <w:spacing w:after="40"/>
      </w:pPr>
      <w:r>
        <w:rPr>
          <w:sz w:val="22"/>
          <w:szCs w:val="22"/>
        </w:rPr>
        <w:t xml:space="preserve">•  Citalopram (Celexa®) 20 mg orally once daily</w:t>
      </w:r>
    </w:p>
    <w:p>
      <w:pPr>
        <w:spacing w:after="40"/>
      </w:pPr>
      <w:r>
        <w:rPr>
          <w:sz w:val="22"/>
          <w:szCs w:val="22"/>
        </w:rPr>
        <w:t xml:space="preserve">•  Fluticasone propionate (Flonase®) 50 mcg nasal spray once daily</w:t>
      </w:r>
    </w:p>
    <w:p>
      <w:pPr>
        <w:spacing w:after="40"/>
      </w:pPr>
      <w:r>
        <w:rPr>
          <w:sz w:val="22"/>
          <w:szCs w:val="22"/>
        </w:rPr>
        <w:t xml:space="preserve">•  Fexofenadine (Allegra®) 30 mg orally once daily</w:t>
      </w:r>
    </w:p>
    <w:p>
      <w:pPr>
        <w:spacing w:after="40"/>
      </w:pPr>
      <w:r>
        <w:rPr>
          <w:sz w:val="22"/>
          <w:szCs w:val="22"/>
        </w:rPr>
        <w:t xml:space="preserve">•  Simvastatin (Zocor®) 20 mg orally once daily</w:t>
      </w:r>
    </w:p>
    <w:p>
      <w:pPr>
        <w:spacing w:after="40"/>
      </w:pPr>
      <w:r>
        <w:rPr>
          <w:sz w:val="22"/>
          <w:szCs w:val="22"/>
        </w:rPr>
        <w:t xml:space="preserve">•  Tramadol (Ultram®) 50 mg orally as needed for pain</w:t>
      </w:r>
    </w:p>
    <w:p>
      <w:pPr>
        <w:spacing w:after="40"/>
      </w:pPr>
      <w:r>
        <w:rPr>
          <w:sz w:val="22"/>
          <w:szCs w:val="22"/>
        </w:rPr>
        <w:t xml:space="preserve">•  Epinephrine auto-injector (EpiPen®) 0.3 mg/0.3 mL as needed for anaphylaxis</w:t>
      </w:r>
    </w:p>
    <w:p>
      <w:pPr>
        <w:spacing w:after="160"/>
      </w:pPr>
      <w:r>
        <w:rPr>
          <w:b w:val="false"/>
          <w:bCs w:val="false"/>
          <w:sz w:val="22"/>
          <w:szCs w:val="22"/>
        </w:rPr>
        <w:t xml:space="preserve">No recent changes had been made to his regular medications. Remimazolam besylate was administered intravenously as the sedative agent for the procedure – the patient's first documented exposure to this drug.</w:t>
      </w:r>
    </w:p>
    <w:p>
      <w:pPr>
        <w:spacing w:after="120" w:before="240"/>
      </w:pPr>
      <w:r>
        <w:rPr>
          <w:b/>
          <w:bCs/>
          <w:sz w:val="26"/>
          <w:szCs w:val="26"/>
        </w:rPr>
        <w:t xml:space="preserve">Clinical Course</w:t>
      </w:r>
    </w:p>
    <w:p>
      <w:pPr>
        <w:spacing w:after="100"/>
      </w:pPr>
      <w:r>
        <w:rPr>
          <w:b w:val="false"/>
          <w:bCs w:val="false"/>
          <w:sz w:val="22"/>
          <w:szCs w:val="22"/>
        </w:rPr>
        <w:t xml:space="preserve">Prior to drug administration, baseline vital signs were stable:</w:t>
      </w:r>
    </w:p>
    <w:p>
      <w:pPr>
        <w:spacing w:after="40"/>
      </w:pPr>
      <w:r>
        <w:rPr>
          <w:sz w:val="22"/>
          <w:szCs w:val="22"/>
        </w:rPr>
        <w:t xml:space="preserve">•  Blood pressure: 139/75 mmHg</w:t>
      </w:r>
    </w:p>
    <w:p>
      <w:pPr>
        <w:spacing w:after="40"/>
      </w:pPr>
      <w:r>
        <w:rPr>
          <w:sz w:val="22"/>
          <w:szCs w:val="22"/>
        </w:rPr>
        <w:t xml:space="preserve">•  Heart rate: 86 beats/min (baseline left bundle branch block)</w:t>
      </w:r>
    </w:p>
    <w:p>
      <w:pPr>
        <w:spacing w:after="40"/>
      </w:pPr>
      <w:r>
        <w:rPr>
          <w:sz w:val="22"/>
          <w:szCs w:val="22"/>
        </w:rPr>
        <w:t xml:space="preserve">•  Respiratory rate: 13 breaths/min</w:t>
      </w:r>
    </w:p>
    <w:p>
      <w:pPr>
        <w:spacing w:after="40"/>
      </w:pPr>
      <w:r>
        <w:rPr>
          <w:sz w:val="22"/>
          <w:szCs w:val="22"/>
        </w:rPr>
        <w:t xml:space="preserve">•  Oxygen saturation: 98% on room air</w:t>
      </w:r>
    </w:p>
    <w:p>
      <w:pPr>
        <w:spacing w:after="100"/>
      </w:pPr>
      <w:r>
        <w:rPr>
          <w:b w:val="false"/>
          <w:bCs w:val="false"/>
          <w:sz w:val="22"/>
          <w:szCs w:val="22"/>
        </w:rPr>
        <w:t xml:space="preserve">Approximately one minute after intravenous administration of remimazolam, the patient stated, “I can’t catch my breath.” His clinical status deteriorated rapidly. Repeat assessment showed:</w:t>
      </w:r>
    </w:p>
    <w:p>
      <w:pPr>
        <w:spacing w:after="40"/>
      </w:pPr>
      <w:r>
        <w:rPr>
          <w:sz w:val="22"/>
          <w:szCs w:val="22"/>
        </w:rPr>
        <w:t xml:space="preserve">•  Respiratory rate: increased to 35 breaths/min</w:t>
      </w:r>
    </w:p>
    <w:p>
      <w:pPr>
        <w:spacing w:after="40"/>
      </w:pPr>
      <w:r>
        <w:rPr>
          <w:sz w:val="22"/>
          <w:szCs w:val="22"/>
        </w:rPr>
        <w:t xml:space="preserve">•  Heart rate: increased to 103 beats/min</w:t>
      </w:r>
    </w:p>
    <w:p>
      <w:pPr>
        <w:spacing w:after="40"/>
      </w:pPr>
      <w:r>
        <w:rPr>
          <w:sz w:val="22"/>
          <w:szCs w:val="22"/>
        </w:rPr>
        <w:t xml:space="preserve">•  Oxygen saturation: decreased to 90%, then further to 87%</w:t>
      </w:r>
    </w:p>
    <w:p>
      <w:pPr>
        <w:spacing w:after="40"/>
      </w:pPr>
      <w:r>
        <w:rPr>
          <w:sz w:val="22"/>
          <w:szCs w:val="22"/>
        </w:rPr>
        <w:t xml:space="preserve">•  The patient became unresponsive to verbal commands, with worsening cyanosis</w:t>
      </w:r>
    </w:p>
    <w:p>
      <w:pPr>
        <w:spacing w:after="160"/>
      </w:pPr>
      <w:r>
        <w:rPr>
          <w:b w:val="false"/>
          <w:bCs w:val="false"/>
          <w:sz w:val="22"/>
          <w:szCs w:val="22"/>
        </w:rPr>
        <w:t xml:space="preserve">Given the temporal relationship, rapid onset, and multi-system involvement (respiratory distress, hypoxia, altered consciousness), the treating team raised high suspicion for perioperative anaphylaxis secondary to remimazolam.</w:t>
      </w:r>
    </w:p>
    <w:p>
      <w:pPr>
        <w:spacing w:after="120" w:before="240"/>
      </w:pPr>
      <w:r>
        <w:rPr>
          <w:b/>
          <w:bCs/>
          <w:sz w:val="26"/>
          <w:szCs w:val="26"/>
        </w:rPr>
        <w:t xml:space="preserve">Management</w:t>
      </w:r>
    </w:p>
    <w:p>
      <w:pPr>
        <w:spacing w:after="100"/>
      </w:pPr>
      <w:r>
        <w:rPr>
          <w:b w:val="false"/>
          <w:bCs w:val="false"/>
          <w:sz w:val="22"/>
          <w:szCs w:val="22"/>
        </w:rPr>
        <w:t xml:space="preserve">Emergency resuscitative treatment was initiated immediately. The patient received:</w:t>
      </w:r>
    </w:p>
    <w:p>
      <w:pPr>
        <w:spacing w:after="40"/>
      </w:pPr>
      <w:r>
        <w:rPr>
          <w:sz w:val="22"/>
          <w:szCs w:val="22"/>
        </w:rPr>
        <w:t xml:space="preserve">•  Flumazenil (benzodiazepine reversal agent)</w:t>
      </w:r>
    </w:p>
    <w:p>
      <w:pPr>
        <w:spacing w:after="40"/>
      </w:pPr>
      <w:r>
        <w:rPr>
          <w:sz w:val="22"/>
          <w:szCs w:val="22"/>
        </w:rPr>
        <w:t xml:space="preserve">•  Intravenous dexamethasone</w:t>
      </w:r>
    </w:p>
    <w:p>
      <w:pPr>
        <w:spacing w:after="40"/>
      </w:pPr>
      <w:r>
        <w:rPr>
          <w:sz w:val="22"/>
          <w:szCs w:val="22"/>
        </w:rPr>
        <w:t xml:space="preserve">•  Intravenous diphenhydramine</w:t>
      </w:r>
    </w:p>
    <w:p>
      <w:pPr>
        <w:spacing w:after="40"/>
      </w:pPr>
      <w:r>
        <w:rPr>
          <w:sz w:val="22"/>
          <w:szCs w:val="22"/>
        </w:rPr>
        <w:t xml:space="preserve">•  Intravenous famotidine</w:t>
      </w:r>
    </w:p>
    <w:p>
      <w:pPr>
        <w:spacing w:after="40"/>
      </w:pPr>
      <w:r>
        <w:rPr>
          <w:sz w:val="22"/>
          <w:szCs w:val="22"/>
        </w:rPr>
        <w:t xml:space="preserve">•  Phenylephrine, for hemodynamic support</w:t>
      </w:r>
    </w:p>
    <w:p>
      <w:pPr>
        <w:spacing w:after="40"/>
      </w:pPr>
      <w:r>
        <w:rPr>
          <w:sz w:val="22"/>
          <w:szCs w:val="22"/>
        </w:rPr>
        <w:t xml:space="preserve">•  Esmolol, for management of tachycardia once the airway and oxygenation stabilized</w:t>
      </w:r>
    </w:p>
    <w:p>
      <w:pPr>
        <w:spacing w:after="40"/>
      </w:pPr>
      <w:r>
        <w:rPr>
          <w:sz w:val="22"/>
          <w:szCs w:val="22"/>
        </w:rPr>
        <w:t xml:space="preserve">•  Supplemental high-flow oxygen and continuous cardiorespiratory monitoring</w:t>
      </w:r>
    </w:p>
    <w:p>
      <w:pPr>
        <w:spacing w:after="100"/>
      </w:pPr>
      <w:r>
        <w:rPr>
          <w:b w:val="false"/>
          <w:bCs w:val="false"/>
          <w:sz w:val="22"/>
          <w:szCs w:val="22"/>
        </w:rPr>
        <w:t xml:space="preserve">With this combined resuscitative approach, the patient's respiratory status and level of consciousness gradually improved, and oxygen saturation normalized. Suspicion of an anaphylactic reaction was subsequently confirmed by a markedly elevated serum tryptase level drawn shortly after the event.</w:t>
      </w:r>
    </w:p>
    <w:p>
      <w:pPr>
        <w:spacing w:after="160"/>
      </w:pPr>
      <w:r>
        <w:rPr>
          <w:b w:val="false"/>
          <w:bCs w:val="false"/>
          <w:sz w:val="22"/>
          <w:szCs w:val="22"/>
        </w:rPr>
        <w:t xml:space="preserve">The patient was admitted to the intensive care unit for close monitoring and supportive care, given the severity of the reaction and the risk of recurrence or biphasic response.</w:t>
      </w:r>
    </w:p>
    <w:p>
      <w:pPr>
        <w:spacing w:after="120" w:before="240"/>
      </w:pPr>
      <w:r>
        <w:rPr>
          <w:b/>
          <w:bCs/>
          <w:sz w:val="26"/>
          <w:szCs w:val="26"/>
        </w:rPr>
        <w:t xml:space="preserve">Outcome</w:t>
      </w:r>
    </w:p>
    <w:p>
      <w:pPr>
        <w:spacing w:after="100"/>
      </w:pPr>
      <w:r>
        <w:rPr>
          <w:b w:val="false"/>
          <w:bCs w:val="false"/>
          <w:sz w:val="22"/>
          <w:szCs w:val="22"/>
        </w:rPr>
        <w:t xml:space="preserve">The patient recovered fully without residual respiratory, cardiovascular, or neurological complications. He was discharged in stable condition with clear documentation of remimazolam-induced anaphylaxis and instructions for allergen avoidance.</w:t>
      </w:r>
    </w:p>
    <w:p>
      <w:pPr>
        <w:spacing w:after="160"/>
      </w:pPr>
      <w:r>
        <w:rPr>
          <w:b w:val="false"/>
          <w:bCs w:val="false"/>
          <w:sz w:val="22"/>
          <w:szCs w:val="22"/>
        </w:rPr>
        <w:t xml:space="preserve">Remimazolam was permanently discontinued and avoided in all subsequent anesthetic plans. On later return to the interventional suite for further procedures, the patient tolerated alternative sedative/anesthetic regimens without any recurrence of hypersensitivity symptoms.</w:t>
      </w:r>
    </w:p>
    <w:p>
      <w:pPr>
        <w:spacing w:after="120" w:before="240"/>
      </w:pPr>
      <w:r>
        <w:rPr>
          <w:b/>
          <w:bCs/>
          <w:sz w:val="26"/>
          <w:szCs w:val="26"/>
        </w:rPr>
        <w:t xml:space="preserve">Pharmacovigilance Assessment</w:t>
      </w:r>
    </w:p>
    <w:p>
      <w:pPr>
        <w:spacing w:after="80" w:before="160"/>
      </w:pPr>
      <w:r>
        <w:rPr>
          <w:b/>
          <w:bCs/>
          <w:sz w:val="22"/>
          <w:szCs w:val="22"/>
        </w:rPr>
        <w:t xml:space="preserve">Suspected Drug</w:t>
      </w:r>
    </w:p>
    <w:p>
      <w:pPr>
        <w:spacing w:after="120"/>
      </w:pPr>
      <w:r>
        <w:rPr>
          <w:b w:val="false"/>
          <w:bCs w:val="false"/>
          <w:sz w:val="22"/>
          <w:szCs w:val="22"/>
        </w:rPr>
        <w:t xml:space="preserve">Remimazolam besylate (Byfavo®)</w:t>
      </w:r>
    </w:p>
    <w:p>
      <w:pPr>
        <w:spacing w:after="80" w:before="160"/>
      </w:pPr>
      <w:r>
        <w:rPr>
          <w:b/>
          <w:bCs/>
          <w:sz w:val="22"/>
          <w:szCs w:val="22"/>
        </w:rPr>
        <w:t xml:space="preserve">Adverse Drug Reaction</w:t>
      </w:r>
    </w:p>
    <w:p>
      <w:pPr>
        <w:spacing w:after="120"/>
      </w:pPr>
      <w:r>
        <w:rPr>
          <w:b w:val="false"/>
          <w:bCs w:val="false"/>
          <w:sz w:val="22"/>
          <w:szCs w:val="22"/>
        </w:rPr>
        <w:t xml:space="preserve">Anaphylaxis (severe, with hypoxia and loss of responsiveness)</w:t>
      </w:r>
    </w:p>
    <w:p>
      <w:pPr>
        <w:spacing w:after="80" w:before="160"/>
      </w:pPr>
      <w:r>
        <w:rPr>
          <w:b/>
          <w:bCs/>
          <w:sz w:val="22"/>
          <w:szCs w:val="22"/>
        </w:rPr>
        <w:t xml:space="preserve">Seriousness Assessment (ICH E2A)</w:t>
      </w:r>
    </w:p>
    <w:p>
      <w:pPr>
        <w:spacing w:after="100"/>
      </w:pPr>
      <w:r>
        <w:rPr>
          <w:b w:val="false"/>
          <w:bCs w:val="false"/>
          <w:sz w:val="22"/>
          <w:szCs w:val="22"/>
        </w:rPr>
        <w:t xml:space="preserve">The reaction meets the criteria for a Serious Adverse Drug Reaction because it:</w:t>
      </w:r>
    </w:p>
    <w:p>
      <w:pPr>
        <w:spacing w:after="40"/>
      </w:pPr>
      <w:r>
        <w:rPr>
          <w:sz w:val="22"/>
          <w:szCs w:val="22"/>
        </w:rPr>
        <w:t xml:space="preserve">•  Was life-threatening</w:t>
      </w:r>
    </w:p>
    <w:p>
      <w:pPr>
        <w:spacing w:after="40"/>
      </w:pPr>
      <w:r>
        <w:rPr>
          <w:sz w:val="22"/>
          <w:szCs w:val="22"/>
        </w:rPr>
        <w:t xml:space="preserve">•  Required hospitalization (ICU admission)</w:t>
      </w:r>
    </w:p>
    <w:p>
      <w:pPr>
        <w:spacing w:after="40"/>
      </w:pPr>
      <w:r>
        <w:rPr>
          <w:sz w:val="22"/>
          <w:szCs w:val="22"/>
        </w:rPr>
        <w:t xml:space="preserve">•  Required immediate emergency medical intervention to prevent death</w:t>
      </w:r>
    </w:p>
    <w:p>
      <w:pPr>
        <w:spacing w:after="160"/>
      </w:pPr>
      <w:r>
        <w:rPr>
          <w:b/>
          <w:bCs/>
          <w:sz w:val="22"/>
          <w:szCs w:val="22"/>
        </w:rPr>
        <w:t xml:space="preserve">Classification: Serious</w:t>
      </w:r>
    </w:p>
    <w:p>
      <w:pPr>
        <w:spacing w:after="80" w:before="160"/>
      </w:pPr>
      <w:r>
        <w:rPr>
          <w:b/>
          <w:bCs/>
          <w:sz w:val="22"/>
          <w:szCs w:val="22"/>
        </w:rPr>
        <w:t xml:space="preserve">Expectedness Assessment</w:t>
      </w:r>
    </w:p>
    <w:p>
      <w:pPr>
        <w:spacing w:after="100"/>
      </w:pPr>
      <w:r>
        <w:rPr>
          <w:b w:val="false"/>
          <w:bCs w:val="false"/>
          <w:sz w:val="22"/>
          <w:szCs w:val="22"/>
        </w:rPr>
        <w:t xml:space="preserve">Hypersensitivity reactions, including anaphylaxis, are listed as a recognized adverse reaction in the prescribing information for remimazolam besylate. Although uncommonly reported, and previously undocumented in a patient with underlying mast cell disease, anaphylaxis is a labeled risk of this drug class.</w:t>
      </w:r>
    </w:p>
    <w:p>
      <w:pPr>
        <w:spacing w:after="160"/>
      </w:pPr>
      <w:r>
        <w:rPr>
          <w:b/>
          <w:bCs/>
          <w:sz w:val="22"/>
          <w:szCs w:val="22"/>
        </w:rPr>
        <w:t xml:space="preserve">Classification: Expected</w:t>
      </w:r>
    </w:p>
    <w:p>
      <w:pPr>
        <w:spacing w:after="80" w:before="160"/>
      </w:pPr>
      <w:r>
        <w:rPr>
          <w:b/>
          <w:bCs/>
          <w:sz w:val="22"/>
          <w:szCs w:val="22"/>
        </w:rPr>
        <w:t xml:space="preserve">Clinical Impact</w:t>
      </w:r>
    </w:p>
    <w:p>
      <w:pPr>
        <w:spacing w:after="100"/>
      </w:pPr>
      <w:r>
        <w:rPr>
          <w:b w:val="false"/>
          <w:bCs w:val="false"/>
          <w:sz w:val="22"/>
          <w:szCs w:val="22"/>
        </w:rPr>
        <w:t xml:space="preserve">The ADR had a high clinical impact because:</w:t>
      </w:r>
    </w:p>
    <w:p>
      <w:pPr>
        <w:spacing w:after="40"/>
      </w:pPr>
      <w:r>
        <w:rPr>
          <w:sz w:val="22"/>
          <w:szCs w:val="22"/>
        </w:rPr>
        <w:t xml:space="preserve">•  It required emergent multi-agent resuscitative treatment, including benzodiazepine reversal, corticosteroids, antihistamines, and vasopressor support.</w:t>
      </w:r>
    </w:p>
    <w:p>
      <w:pPr>
        <w:spacing w:after="40"/>
      </w:pPr>
      <w:r>
        <w:rPr>
          <w:sz w:val="22"/>
          <w:szCs w:val="22"/>
        </w:rPr>
        <w:t xml:space="preserve">•  The patient required intensive care unit admission and close monitoring.</w:t>
      </w:r>
    </w:p>
    <w:p>
      <w:pPr>
        <w:spacing w:after="40"/>
      </w:pPr>
      <w:r>
        <w:rPr>
          <w:sz w:val="22"/>
          <w:szCs w:val="22"/>
        </w:rPr>
        <w:t xml:space="preserve">•  The suspected drug had to be permanently discontinued and avoided on all future procedures.</w:t>
      </w:r>
    </w:p>
    <w:p>
      <w:pPr>
        <w:spacing w:after="40"/>
      </w:pPr>
      <w:r>
        <w:rPr>
          <w:sz w:val="22"/>
          <w:szCs w:val="22"/>
        </w:rPr>
        <w:t xml:space="preserve">•  The reaction was reported to the institutional pharmacovigilance/adverse event reporting program as a serious adverse drug reaction.</w:t>
      </w:r>
    </w:p>
    <w:p>
      <w:pPr>
        <w:spacing w:after="120" w:before="240"/>
      </w:pPr>
      <w:r>
        <w:rPr>
          <w:b/>
          <w:bCs/>
          <w:sz w:val="26"/>
          <w:szCs w:val="26"/>
        </w:rPr>
        <w:t xml:space="preserve">ADR Summary Table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500"/>
        <w:gridCol w:w="6000"/>
      </w:tblGrid>
      <w:tr>
        <w:tc>
          <w:tcPr>
            <w:tcW w:type="dxa" w:w="3500"/>
            <w:shd w:fill="D9E2F3" w:val="clear"/>
          </w:tcPr>
          <w:p>
            <w:r>
              <w:rPr>
                <w:b/>
                <w:bCs/>
                <w:sz w:val="20"/>
                <w:szCs w:val="20"/>
              </w:rPr>
              <w:t xml:space="preserve">Parameter</w:t>
            </w:r>
          </w:p>
        </w:tc>
        <w:tc>
          <w:tcPr>
            <w:tcW w:type="dxa" w:w="6000"/>
            <w:shd w:fill="D9E2F3" w:val="clear"/>
          </w:tcPr>
          <w:p>
            <w:r>
              <w:rPr>
                <w:b/>
                <w:bCs/>
                <w:sz w:val="20"/>
                <w:szCs w:val="20"/>
              </w:rPr>
              <w:t xml:space="preserve">Details</w:t>
            </w:r>
          </w:p>
        </w:tc>
      </w:tr>
      <w:tr>
        <w:tc>
          <w:tcPr>
            <w:tcW w:type="dxa" w:w="3500"/>
          </w:tcPr>
          <w:p>
            <w:r>
              <w:rPr>
                <w:b w:val="false"/>
                <w:bCs w:val="false"/>
                <w:sz w:val="20"/>
                <w:szCs w:val="20"/>
              </w:rPr>
              <w:t xml:space="preserve">Patient</w:t>
            </w:r>
          </w:p>
        </w:tc>
        <w:tc>
          <w:tcPr>
            <w:tcW w:type="dxa" w:w="6000"/>
          </w:tcPr>
          <w:p>
            <w:r>
              <w:rPr>
                <w:b w:val="false"/>
                <w:bCs w:val="false"/>
                <w:sz w:val="20"/>
                <w:szCs w:val="20"/>
              </w:rPr>
              <w:t xml:space="preserve">77-year-old male</w:t>
            </w:r>
          </w:p>
        </w:tc>
      </w:tr>
      <w:tr>
        <w:tc>
          <w:tcPr>
            <w:tcW w:type="dxa" w:w="3500"/>
          </w:tcPr>
          <w:p>
            <w:r>
              <w:rPr>
                <w:b w:val="false"/>
                <w:bCs w:val="false"/>
                <w:sz w:val="20"/>
                <w:szCs w:val="20"/>
              </w:rPr>
              <w:t xml:space="preserve">Underlying Condition</w:t>
            </w:r>
          </w:p>
        </w:tc>
        <w:tc>
          <w:tcPr>
            <w:tcW w:type="dxa" w:w="6000"/>
          </w:tcPr>
          <w:p>
            <w:r>
              <w:rPr>
                <w:b w:val="false"/>
                <w:bCs w:val="false"/>
                <w:sz w:val="20"/>
                <w:szCs w:val="20"/>
              </w:rPr>
              <w:t xml:space="preserve">Oncologic mastocytosis</w:t>
            </w:r>
          </w:p>
        </w:tc>
      </w:tr>
      <w:tr>
        <w:tc>
          <w:tcPr>
            <w:tcW w:type="dxa" w:w="3500"/>
          </w:tcPr>
          <w:p>
            <w:r>
              <w:rPr>
                <w:b w:val="false"/>
                <w:bCs w:val="false"/>
                <w:sz w:val="20"/>
                <w:szCs w:val="20"/>
              </w:rPr>
              <w:t xml:space="preserve">Suspected Drug</w:t>
            </w:r>
          </w:p>
        </w:tc>
        <w:tc>
          <w:tcPr>
            <w:tcW w:type="dxa" w:w="6000"/>
          </w:tcPr>
          <w:p>
            <w:r>
              <w:rPr>
                <w:b w:val="false"/>
                <w:bCs w:val="false"/>
                <w:sz w:val="20"/>
                <w:szCs w:val="20"/>
              </w:rPr>
              <w:t xml:space="preserve">Remimazolam besylate (Byfavo®)</w:t>
            </w:r>
          </w:p>
        </w:tc>
      </w:tr>
      <w:tr>
        <w:tc>
          <w:tcPr>
            <w:tcW w:type="dxa" w:w="3500"/>
          </w:tcPr>
          <w:p>
            <w:r>
              <w:rPr>
                <w:b w:val="false"/>
                <w:bCs w:val="false"/>
                <w:sz w:val="20"/>
                <w:szCs w:val="20"/>
              </w:rPr>
              <w:t xml:space="preserve">Route/Setting</w:t>
            </w:r>
          </w:p>
        </w:tc>
        <w:tc>
          <w:tcPr>
            <w:tcW w:type="dxa" w:w="6000"/>
          </w:tcPr>
          <w:p>
            <w:r>
              <w:rPr>
                <w:b w:val="false"/>
                <w:bCs w:val="false"/>
                <w:sz w:val="20"/>
                <w:szCs w:val="20"/>
              </w:rPr>
              <w:t xml:space="preserve">IV, induction of sedation prior to central line placement</w:t>
            </w:r>
          </w:p>
        </w:tc>
      </w:tr>
      <w:tr>
        <w:tc>
          <w:tcPr>
            <w:tcW w:type="dxa" w:w="3500"/>
          </w:tcPr>
          <w:p>
            <w:r>
              <w:rPr>
                <w:b w:val="false"/>
                <w:bCs w:val="false"/>
                <w:sz w:val="20"/>
                <w:szCs w:val="20"/>
              </w:rPr>
              <w:t xml:space="preserve">ADR</w:t>
            </w:r>
          </w:p>
        </w:tc>
        <w:tc>
          <w:tcPr>
            <w:tcW w:type="dxa" w:w="6000"/>
          </w:tcPr>
          <w:p>
            <w:r>
              <w:rPr>
                <w:b w:val="false"/>
                <w:bCs w:val="false"/>
                <w:sz w:val="20"/>
                <w:szCs w:val="20"/>
              </w:rPr>
              <w:t xml:space="preserve">Anaphylaxis (severe, hypoxic)</w:t>
            </w:r>
          </w:p>
        </w:tc>
      </w:tr>
      <w:tr>
        <w:tc>
          <w:tcPr>
            <w:tcW w:type="dxa" w:w="3500"/>
          </w:tcPr>
          <w:p>
            <w:r>
              <w:rPr>
                <w:b w:val="false"/>
                <w:bCs w:val="false"/>
                <w:sz w:val="20"/>
                <w:szCs w:val="20"/>
              </w:rPr>
              <w:t xml:space="preserve">Time to Onset</w:t>
            </w:r>
          </w:p>
        </w:tc>
        <w:tc>
          <w:tcPr>
            <w:tcW w:type="dxa" w:w="6000"/>
          </w:tcPr>
          <w:p>
            <w:r>
              <w:rPr>
                <w:b w:val="false"/>
                <w:bCs w:val="false"/>
                <w:sz w:val="20"/>
                <w:szCs w:val="20"/>
              </w:rPr>
              <w:t xml:space="preserve">Approximately 1 minute after administration</w:t>
            </w:r>
          </w:p>
        </w:tc>
      </w:tr>
      <w:tr>
        <w:tc>
          <w:tcPr>
            <w:tcW w:type="dxa" w:w="3500"/>
          </w:tcPr>
          <w:p>
            <w:r>
              <w:rPr>
                <w:b w:val="false"/>
                <w:bCs w:val="false"/>
                <w:sz w:val="20"/>
                <w:szCs w:val="20"/>
              </w:rPr>
              <w:t xml:space="preserve">Management</w:t>
            </w:r>
          </w:p>
        </w:tc>
        <w:tc>
          <w:tcPr>
            <w:tcW w:type="dxa" w:w="6000"/>
          </w:tcPr>
          <w:p>
            <w:r>
              <w:rPr>
                <w:b w:val="false"/>
                <w:bCs w:val="false"/>
                <w:sz w:val="20"/>
                <w:szCs w:val="20"/>
              </w:rPr>
              <w:t xml:space="preserve">Flumazenil, dexamethasone, diphenhydramine, famotidine, phenylephrine, esmolol; supplemental oxygen</w:t>
            </w:r>
          </w:p>
        </w:tc>
      </w:tr>
      <w:tr>
        <w:tc>
          <w:tcPr>
            <w:tcW w:type="dxa" w:w="3500"/>
          </w:tcPr>
          <w:p>
            <w:r>
              <w:rPr>
                <w:b w:val="false"/>
                <w:bCs w:val="false"/>
                <w:sz w:val="20"/>
                <w:szCs w:val="20"/>
              </w:rPr>
              <w:t xml:space="preserve">Hospitalization</w:t>
            </w:r>
          </w:p>
        </w:tc>
        <w:tc>
          <w:tcPr>
            <w:tcW w:type="dxa" w:w="6000"/>
          </w:tcPr>
          <w:p>
            <w:r>
              <w:rPr>
                <w:b w:val="false"/>
                <w:bCs w:val="false"/>
                <w:sz w:val="20"/>
                <w:szCs w:val="20"/>
              </w:rPr>
              <w:t xml:space="preserve">Yes – ICU admission for monitoring</w:t>
            </w:r>
          </w:p>
        </w:tc>
      </w:tr>
      <w:tr>
        <w:tc>
          <w:tcPr>
            <w:tcW w:type="dxa" w:w="3500"/>
          </w:tcPr>
          <w:p>
            <w:r>
              <w:rPr>
                <w:b w:val="false"/>
                <w:bCs w:val="false"/>
                <w:sz w:val="20"/>
                <w:szCs w:val="20"/>
              </w:rPr>
              <w:t xml:space="preserve">Outcome</w:t>
            </w:r>
          </w:p>
        </w:tc>
        <w:tc>
          <w:tcPr>
            <w:tcW w:type="dxa" w:w="6000"/>
          </w:tcPr>
          <w:p>
            <w:r>
              <w:rPr>
                <w:b w:val="false"/>
                <w:bCs w:val="false"/>
                <w:sz w:val="20"/>
                <w:szCs w:val="20"/>
              </w:rPr>
              <w:t xml:space="preserve">Full recovery; confirmed by elevated serum tryptase</w:t>
            </w:r>
          </w:p>
        </w:tc>
      </w:tr>
      <w:tr>
        <w:tc>
          <w:tcPr>
            <w:tcW w:type="dxa" w:w="3500"/>
          </w:tcPr>
          <w:p>
            <w:r>
              <w:rPr>
                <w:b w:val="false"/>
                <w:bCs w:val="false"/>
                <w:sz w:val="20"/>
                <w:szCs w:val="20"/>
              </w:rPr>
              <w:t xml:space="preserve">Seriousness</w:t>
            </w:r>
          </w:p>
        </w:tc>
        <w:tc>
          <w:tcPr>
            <w:tcW w:type="dxa" w:w="6000"/>
          </w:tcPr>
          <w:p>
            <w:r>
              <w:rPr>
                <w:b w:val="false"/>
                <w:bCs w:val="false"/>
                <w:sz w:val="20"/>
                <w:szCs w:val="20"/>
              </w:rPr>
              <w:t xml:space="preserve">Serious</w:t>
            </w:r>
          </w:p>
        </w:tc>
      </w:tr>
      <w:tr>
        <w:tc>
          <w:tcPr>
            <w:tcW w:type="dxa" w:w="3500"/>
          </w:tcPr>
          <w:p>
            <w:r>
              <w:rPr>
                <w:b w:val="false"/>
                <w:bCs w:val="false"/>
                <w:sz w:val="20"/>
                <w:szCs w:val="20"/>
              </w:rPr>
              <w:t xml:space="preserve">Expectedness</w:t>
            </w:r>
          </w:p>
        </w:tc>
        <w:tc>
          <w:tcPr>
            <w:tcW w:type="dxa" w:w="6000"/>
          </w:tcPr>
          <w:p>
            <w:r>
              <w:rPr>
                <w:b w:val="false"/>
                <w:bCs w:val="false"/>
                <w:sz w:val="20"/>
                <w:szCs w:val="20"/>
              </w:rPr>
              <w:t xml:space="preserve">Expected</w:t>
            </w:r>
          </w:p>
        </w:tc>
      </w:tr>
      <w:tr>
        <w:tc>
          <w:tcPr>
            <w:tcW w:type="dxa" w:w="3500"/>
          </w:tcPr>
          <w:p>
            <w:r>
              <w:rPr>
                <w:b w:val="false"/>
                <w:bCs w:val="false"/>
                <w:sz w:val="20"/>
                <w:szCs w:val="20"/>
              </w:rPr>
              <w:t xml:space="preserve">Clinical Impact</w:t>
            </w:r>
          </w:p>
        </w:tc>
        <w:tc>
          <w:tcPr>
            <w:tcW w:type="dxa" w:w="6000"/>
          </w:tcPr>
          <w:p>
            <w:r>
              <w:rPr>
                <w:b w:val="false"/>
                <w:bCs w:val="false"/>
                <w:sz w:val="20"/>
                <w:szCs w:val="20"/>
              </w:rPr>
              <w:t xml:space="preserve">High</w:t>
            </w:r>
          </w:p>
        </w:tc>
      </w:tr>
      <w:tr>
        <w:tc>
          <w:tcPr>
            <w:tcW w:type="dxa" w:w="3500"/>
          </w:tcPr>
          <w:p>
            <w:r>
              <w:rPr>
                <w:b w:val="false"/>
                <w:bCs w:val="false"/>
                <w:sz w:val="20"/>
                <w:szCs w:val="20"/>
              </w:rPr>
              <w:t xml:space="preserve">Pharmacovigilance Action</w:t>
            </w:r>
          </w:p>
        </w:tc>
        <w:tc>
          <w:tcPr>
            <w:tcW w:type="dxa" w:w="6000"/>
          </w:tcPr>
          <w:p>
            <w:r>
              <w:rPr>
                <w:b w:val="false"/>
                <w:bCs w:val="false"/>
                <w:sz w:val="20"/>
                <w:szCs w:val="20"/>
              </w:rPr>
              <w:t xml:space="preserve">Reported as a serious ADR; drug permanently discontinued and avoided on subsequent procedures</w:t>
            </w:r>
          </w:p>
        </w:tc>
      </w:tr>
    </w:tbl>
    <w:p>
      <w:pPr>
        <w:spacing w:after="200"/>
      </w:pPr>
    </w:p>
    <w:p>
      <w:pPr>
        <w:spacing w:after="120" w:before="240"/>
      </w:pPr>
      <w:r>
        <w:rPr>
          <w:b/>
          <w:bCs/>
          <w:sz w:val="26"/>
          <w:szCs w:val="26"/>
        </w:rPr>
        <w:t xml:space="preserve">References</w:t>
      </w:r>
    </w:p>
    <w:p>
      <w:pPr>
        <w:spacing w:after="100"/>
      </w:pPr>
      <w:r>
        <w:rPr>
          <w:b w:val="false"/>
          <w:bCs w:val="false"/>
          <w:sz w:val="22"/>
          <w:szCs w:val="22"/>
        </w:rPr>
        <w:t xml:space="preserve">Mani J, Strang A, Faruki AA, Siddiqui ZA, Mena G. Severe Anaphylaxis From Remimazolam in a Mastocytosis Cancer Patient: A Case Report. Cureus. 2024;16(9):e69079. doi:10.7759/cureus.69079</w:t>
      </w:r>
    </w:p>
    <w:p>
      <w:pPr>
        <w:spacing w:after="300"/>
      </w:pPr>
      <w:r>
        <w:rPr>
          <w:b w:val="false"/>
          <w:bCs w:val="false"/>
          <w:sz w:val="22"/>
          <w:szCs w:val="22"/>
        </w:rPr>
        <w:t xml:space="preserve">U.S. Food and Drug Administration (FDA). Byfavo (remimazolam) Prescribing Information. https://www.accessdata.fda.gov/drugsatfda_docs/label/</w:t>
      </w:r>
    </w:p>
    <w:p>
      <w:pPr>
        <w:spacing w:after="300"/>
      </w:pPr>
    </w:p>
    <w:p>
      <w:pPr>
        <w:jc w:val="right"/>
      </w:pPr>
      <w:r>
        <w:rPr>
          <w:b/>
          <w:bCs/>
          <w:sz w:val="22"/>
          <w:szCs w:val="22"/>
        </w:rPr>
        <w:t xml:space="preserve">SANGEETHA</w:t>
      </w:r>
    </w:p>
    <w:p>
      <w:pPr>
        <w:jc w:val="right"/>
      </w:pPr>
      <w:r>
        <w:rPr>
          <w:sz w:val="22"/>
          <w:szCs w:val="22"/>
        </w:rPr>
        <w:t xml:space="preserve">8247304381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2026-07-17T11:45:58.445Z</dcterms:created>
  <dcterms:modified xsi:type="dcterms:W3CDTF">2026-07-17T11:45:58.458Z</dcterms:modified>
</cp:coreProperties>
</file>

<file path=docProps/custom.xml><?xml version="1.0" encoding="utf-8"?>
<Properties xmlns="http://schemas.openxmlformats.org/officeDocument/2006/custom-properties" xmlns:vt="http://schemas.openxmlformats.org/officeDocument/2006/docPropsVTypes"/>
</file>