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2"/>
          <w:szCs w:val="22"/>
        </w:rPr>
        <w:t xml:space="preserve">CASE: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case is taken from published literature – American Journal of Case Reports (Almansour AH, 2025; Am J Case Rep. 26:e950781)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Age: 66 years, Sex: Male, Weight: 186 kg (baseline), BMI: 61.4 kg/m²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Medical History</w:t>
      </w:r>
    </w:p>
    <w:p>
      <w:pPr>
        <w:spacing w:after="40"/>
      </w:pPr>
      <w:r>
        <w:rPr>
          <w:sz w:val="22"/>
          <w:szCs w:val="22"/>
        </w:rPr>
        <w:t xml:space="preserve">Hypertension</w:t>
      </w:r>
    </w:p>
    <w:p>
      <w:pPr>
        <w:spacing w:after="40"/>
      </w:pPr>
      <w:r>
        <w:rPr>
          <w:sz w:val="22"/>
          <w:szCs w:val="22"/>
        </w:rPr>
        <w:t xml:space="preserve">Morbid Obesity</w:t>
      </w:r>
    </w:p>
    <w:p>
      <w:pPr>
        <w:spacing w:after="40"/>
      </w:pPr>
      <w:r>
        <w:rPr>
          <w:sz w:val="22"/>
          <w:szCs w:val="22"/>
        </w:rPr>
        <w:t xml:space="preserve">Hypothyroidism (post-partial thyroidectomy)</w:t>
      </w:r>
    </w:p>
    <w:p>
      <w:pPr>
        <w:spacing w:after="40"/>
      </w:pPr>
      <w:r>
        <w:rPr>
          <w:sz w:val="22"/>
          <w:szCs w:val="22"/>
        </w:rPr>
        <w:t xml:space="preserve">Benign Prostatic Hyperplasia</w:t>
      </w:r>
    </w:p>
    <w:p>
      <w:pPr>
        <w:spacing w:after="40"/>
      </w:pPr>
      <w:r>
        <w:rPr>
          <w:sz w:val="22"/>
          <w:szCs w:val="22"/>
        </w:rPr>
        <w:t xml:space="preserve">Prediabetes</w:t>
      </w:r>
    </w:p>
    <w:p>
      <w:pPr>
        <w:spacing w:after="40"/>
      </w:pPr>
      <w:r>
        <w:rPr>
          <w:sz w:val="22"/>
          <w:szCs w:val="22"/>
        </w:rPr>
        <w:t xml:space="preserve">Dyslipidemia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Past History – Bilateral knee replacement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Medication History:</w:t>
      </w:r>
    </w:p>
    <w:p>
      <w:pPr>
        <w:spacing w:after="40"/>
      </w:pPr>
      <w:r>
        <w:rPr>
          <w:b/>
          <w:bCs/>
          <w:sz w:val="22"/>
          <w:szCs w:val="22"/>
        </w:rPr>
        <w:t xml:space="preserve">Drug</w:t>
      </w:r>
    </w:p>
    <w:p>
      <w:pPr>
        <w:spacing w:after="40"/>
      </w:pPr>
      <w:r>
        <w:rPr>
          <w:sz w:val="22"/>
          <w:szCs w:val="22"/>
        </w:rPr>
        <w:t xml:space="preserve">Tirzepatide – 2.5 mg weekly, escalated to 12.5 mg weekly over 4 months (accelerated titration)</w:t>
      </w:r>
    </w:p>
    <w:p>
      <w:pPr>
        <w:spacing w:after="40"/>
      </w:pPr>
      <w:r>
        <w:rPr>
          <w:sz w:val="22"/>
          <w:szCs w:val="22"/>
        </w:rPr>
        <w:t xml:space="preserve">Perindopril – 10 mg once daily</w:t>
      </w:r>
    </w:p>
    <w:p>
      <w:pPr>
        <w:spacing w:after="40"/>
      </w:pPr>
      <w:r>
        <w:rPr>
          <w:sz w:val="22"/>
          <w:szCs w:val="22"/>
        </w:rPr>
        <w:t xml:space="preserve">Bisoprolol – 5 mg once daily</w:t>
      </w:r>
    </w:p>
    <w:p>
      <w:pPr>
        <w:spacing w:after="40"/>
      </w:pPr>
      <w:r>
        <w:rPr>
          <w:sz w:val="22"/>
          <w:szCs w:val="22"/>
        </w:rPr>
        <w:t xml:space="preserve">Spironolactone – 25 mg once daily</w:t>
      </w:r>
    </w:p>
    <w:p>
      <w:pPr>
        <w:spacing w:after="40"/>
      </w:pPr>
      <w:r>
        <w:rPr>
          <w:sz w:val="22"/>
          <w:szCs w:val="22"/>
        </w:rPr>
        <w:t xml:space="preserve">Levothyroxine – 125 mcg once daily</w:t>
      </w:r>
    </w:p>
    <w:p>
      <w:pPr>
        <w:spacing w:after="40"/>
      </w:pPr>
      <w:r>
        <w:rPr>
          <w:sz w:val="22"/>
          <w:szCs w:val="22"/>
        </w:rPr>
        <w:t xml:space="preserve">Alfuzosin – 10 mg once daily</w:t>
      </w:r>
    </w:p>
    <w:p>
      <w:pPr>
        <w:spacing w:after="40"/>
      </w:pPr>
      <w:r>
        <w:rPr>
          <w:sz w:val="22"/>
          <w:szCs w:val="22"/>
        </w:rPr>
        <w:t xml:space="preserve">Metformin XR – 750 mg once daily</w:t>
      </w:r>
    </w:p>
    <w:p>
      <w:pPr>
        <w:spacing w:after="40"/>
      </w:pPr>
      <w:r>
        <w:rPr>
          <w:sz w:val="22"/>
          <w:szCs w:val="22"/>
        </w:rPr>
        <w:t xml:space="preserve">Atorvastatin – 20 mg once daily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Timeline</w:t>
      </w:r>
    </w:p>
    <w:p>
      <w:pPr>
        <w:spacing w:after="40"/>
      </w:pPr>
      <w:r>
        <w:rPr>
          <w:sz w:val="22"/>
          <w:szCs w:val="22"/>
        </w:rPr>
        <w:t xml:space="preserve">Month 0 – Tirzepatide initiated at 2.5 mg weekly.</w:t>
      </w:r>
    </w:p>
    <w:p>
      <w:pPr>
        <w:spacing w:after="40"/>
      </w:pPr>
      <w:r>
        <w:rPr>
          <w:sz w:val="22"/>
          <w:szCs w:val="22"/>
        </w:rPr>
        <w:t xml:space="preserve">Month 1 – Increased to 5 mg weekly.</w:t>
      </w:r>
    </w:p>
    <w:p>
      <w:pPr>
        <w:spacing w:after="40"/>
      </w:pPr>
      <w:r>
        <w:rPr>
          <w:sz w:val="22"/>
          <w:szCs w:val="22"/>
        </w:rPr>
        <w:t xml:space="preserve">Month 2 – Increased to 7.5 mg weekly.</w:t>
      </w:r>
    </w:p>
    <w:p>
      <w:pPr>
        <w:spacing w:after="40"/>
      </w:pPr>
      <w:r>
        <w:rPr>
          <w:sz w:val="22"/>
          <w:szCs w:val="22"/>
        </w:rPr>
        <w:t xml:space="preserve">Month 3 – Increased to 10 mg weekly (for 2 weeks only, versus standard 4-week interval).</w:t>
      </w:r>
    </w:p>
    <w:p>
      <w:pPr>
        <w:spacing w:after="40"/>
      </w:pPr>
      <w:r>
        <w:rPr>
          <w:sz w:val="22"/>
          <w:szCs w:val="22"/>
        </w:rPr>
        <w:t xml:space="preserve">~Week 14 – Increased to 12.5 mg weekly (total weight loss of 35 kg, ~19% of baseline body weight).</w:t>
      </w:r>
    </w:p>
    <w:p>
      <w:pPr>
        <w:spacing w:after="40"/>
      </w:pPr>
      <w:r>
        <w:rPr>
          <w:sz w:val="22"/>
          <w:szCs w:val="22"/>
        </w:rPr>
        <w:t xml:space="preserve">Month 4 – Preoperative evaluation before bariatric surgery revealed acute kidney injury with hyperkalemia and metabolic acidosis.</w:t>
      </w:r>
    </w:p>
    <w:p>
      <w:pPr>
        <w:spacing w:after="120"/>
      </w:pPr>
      <w:r>
        <w:rPr>
          <w:sz w:val="22"/>
          <w:szCs w:val="22"/>
        </w:rPr>
        <w:t xml:space="preserve">Patient presented to hospital for pre-bariatric surgical work-up; found to have acute renal impairment on routine labs – admitted to Intensive Care Unit for evaluation and management.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Clinical Findings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Vital Signs (at baseline clinic visit)</w:t>
      </w:r>
    </w:p>
    <w:p>
      <w:pPr>
        <w:spacing w:after="40"/>
      </w:pPr>
      <w:r>
        <w:rPr>
          <w:sz w:val="22"/>
          <w:szCs w:val="22"/>
        </w:rPr>
        <w:t xml:space="preserve">BP: 125/60 mmHg</w:t>
      </w:r>
    </w:p>
    <w:p>
      <w:pPr>
        <w:spacing w:after="40"/>
      </w:pPr>
      <w:r>
        <w:rPr>
          <w:sz w:val="22"/>
          <w:szCs w:val="22"/>
        </w:rPr>
        <w:t xml:space="preserve">Pulse: 86 bpm</w:t>
      </w:r>
    </w:p>
    <w:p>
      <w:pPr>
        <w:spacing w:after="40"/>
      </w:pPr>
      <w:r>
        <w:rPr>
          <w:sz w:val="22"/>
          <w:szCs w:val="22"/>
        </w:rPr>
        <w:t xml:space="preserve">Temperature: 36.5°C</w:t>
      </w:r>
    </w:p>
    <w:p>
      <w:pPr>
        <w:spacing w:after="40"/>
      </w:pPr>
      <w:r>
        <w:rPr>
          <w:sz w:val="22"/>
          <w:szCs w:val="22"/>
        </w:rPr>
        <w:t xml:space="preserve">Respiratory Rate: 18 breaths/min</w:t>
      </w:r>
    </w:p>
    <w:p>
      <w:pPr>
        <w:spacing w:after="40"/>
      </w:pPr>
      <w:r>
        <w:rPr>
          <w:sz w:val="22"/>
          <w:szCs w:val="22"/>
        </w:rPr>
        <w:t xml:space="preserve">SpO₂: 100% on room air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Physical Examination</w:t>
      </w:r>
    </w:p>
    <w:p>
      <w:pPr>
        <w:spacing w:after="40"/>
      </w:pPr>
      <w:r>
        <w:rPr>
          <w:sz w:val="22"/>
          <w:szCs w:val="22"/>
        </w:rPr>
        <w:t xml:space="preserve">No documented signs of dehydration or fluid overload; patient denied nausea, vomiting, diarrhea, dysuria, fever, or lower-limb edema during treatment (retrospective self-report).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Laboratory Findings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c>
          <w:tcPr>
            <w:tcW w:type="dxa" w:w="3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Normal Range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Serum Creatinine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 mg/dL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0.7 - 1.3 mg/dL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Serum Potassium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mmol/L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3.5 - 5.0 mmol/L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Venous Blood pH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7.35 - 7.45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CO2 (Bicarbonate)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mmol/L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22 - 29 mmol/L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Hemoglobin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12.9 g/dL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13.5 - 17.5 g/dL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WBC Count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x 10⁹/L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4 - 11 x 10⁹/L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Platelet Count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249 x 10⁹/L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150 - 450 x 10⁹/L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bCs/>
          <w:sz w:val="22"/>
          <w:szCs w:val="22"/>
        </w:rPr>
        <w:t xml:space="preserve">Imaging</w:t>
      </w:r>
    </w:p>
    <w:p>
      <w:pPr>
        <w:spacing w:after="40"/>
      </w:pPr>
      <w:r>
        <w:rPr>
          <w:sz w:val="22"/>
          <w:szCs w:val="22"/>
        </w:rPr>
        <w:t xml:space="preserve">Non-contrast CT Abdomen and Pelvis – No urinary tract obstruction identified; post-renal cause excluded.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Management:</w:t>
      </w:r>
    </w:p>
    <w:p>
      <w:pPr>
        <w:spacing w:after="40"/>
      </w:pPr>
      <w:r>
        <w:rPr>
          <w:sz w:val="22"/>
          <w:szCs w:val="22"/>
        </w:rPr>
        <w:t xml:space="preserve">Tirzepatide discontinued immediately.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Treatment</w:t>
      </w:r>
    </w:p>
    <w:p>
      <w:pPr>
        <w:spacing w:after="40"/>
      </w:pPr>
      <w:r>
        <w:rPr>
          <w:sz w:val="22"/>
          <w:szCs w:val="22"/>
        </w:rPr>
        <w:t xml:space="preserve">Intensive Care Unit admission</w:t>
      </w:r>
    </w:p>
    <w:p>
      <w:pPr>
        <w:spacing w:after="40"/>
      </w:pPr>
      <w:r>
        <w:rPr>
          <w:sz w:val="22"/>
          <w:szCs w:val="22"/>
        </w:rPr>
        <w:t xml:space="preserve">Antihyperkalemic therapy</w:t>
      </w:r>
    </w:p>
    <w:p>
      <w:pPr>
        <w:spacing w:after="40"/>
      </w:pPr>
      <w:r>
        <w:rPr>
          <w:sz w:val="22"/>
          <w:szCs w:val="22"/>
        </w:rPr>
        <w:t xml:space="preserve">Intravenous fluids</w:t>
      </w:r>
    </w:p>
    <w:p>
      <w:pPr>
        <w:spacing w:after="40"/>
      </w:pPr>
      <w:r>
        <w:rPr>
          <w:sz w:val="22"/>
          <w:szCs w:val="22"/>
        </w:rPr>
        <w:t xml:space="preserve">Intravenous sodium bicarbonate</w:t>
      </w:r>
    </w:p>
    <w:p>
      <w:pPr>
        <w:spacing w:after="40"/>
      </w:pPr>
      <w:r>
        <w:rPr>
          <w:sz w:val="22"/>
          <w:szCs w:val="22"/>
        </w:rPr>
        <w:t xml:space="preserve">Intravenous antibiotics (for possible infectious contribution)</w:t>
      </w:r>
    </w:p>
    <w:p>
      <w:pPr>
        <w:spacing w:after="40"/>
      </w:pPr>
      <w:r>
        <w:rPr>
          <w:sz w:val="22"/>
          <w:szCs w:val="22"/>
        </w:rPr>
        <w:t xml:space="preserve">Spironolactone and Metformin XR also discontinued at discharge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Outcome</w:t>
      </w:r>
    </w:p>
    <w:p>
      <w:pPr>
        <w:spacing w:after="40"/>
      </w:pPr>
      <w:r>
        <w:rPr>
          <w:sz w:val="22"/>
          <w:szCs w:val="22"/>
        </w:rPr>
        <w:t xml:space="preserve">Clinical and biochemical improvement within the ICU; transferred to the medical ward after 1 day.</w:t>
      </w:r>
    </w:p>
    <w:p>
      <w:pPr>
        <w:spacing w:after="40"/>
      </w:pPr>
      <w:r>
        <w:rPr>
          <w:sz w:val="22"/>
          <w:szCs w:val="22"/>
        </w:rPr>
        <w:t xml:space="preserve">Serum creatinine improved to 1.18 mg/dL and potassium to 5 mmol/L by discharge.</w:t>
      </w:r>
    </w:p>
    <w:p>
      <w:pPr>
        <w:spacing w:after="40"/>
      </w:pPr>
      <w:r>
        <w:rPr>
          <w:sz w:val="22"/>
          <w:szCs w:val="22"/>
        </w:rPr>
        <w:t xml:space="preserve">On follow-up, renal function and all other parameters returned to within normal limits.</w:t>
      </w:r>
    </w:p>
    <w:p>
      <w:pPr>
        <w:spacing w:after="40"/>
      </w:pPr>
      <w:r>
        <w:rPr>
          <w:sz w:val="22"/>
          <w:szCs w:val="22"/>
        </w:rPr>
        <w:t xml:space="preserve">No recurrence reported after discontinuation of tirzepatide.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Evidence Supporting ADR</w:t>
      </w:r>
    </w:p>
    <w:p>
      <w:pPr>
        <w:spacing w:after="40"/>
      </w:pPr>
      <w:r>
        <w:rPr>
          <w:sz w:val="22"/>
          <w:szCs w:val="22"/>
        </w:rPr>
        <w:t xml:space="preserve">✔ Temporal relationship present</w:t>
      </w:r>
    </w:p>
    <w:p>
      <w:pPr>
        <w:spacing w:after="40"/>
      </w:pPr>
      <w:r>
        <w:rPr>
          <w:sz w:val="22"/>
          <w:szCs w:val="22"/>
        </w:rPr>
        <w:t xml:space="preserve">✔ Improvement after withdrawal (positive dechallenge)</w:t>
      </w:r>
    </w:p>
    <w:p>
      <w:pPr>
        <w:spacing w:after="40"/>
      </w:pPr>
      <w:r>
        <w:rPr>
          <w:sz w:val="22"/>
          <w:szCs w:val="22"/>
        </w:rPr>
        <w:t xml:space="preserve">✘ Alternative contributing causes present (polypharmacy – RAAS inhibitor/diuretic, possible subclinical volume depletion)</w:t>
      </w:r>
    </w:p>
    <w:p>
      <w:pPr>
        <w:spacing w:after="40"/>
      </w:pPr>
      <w:r>
        <w:rPr>
          <w:sz w:val="22"/>
          <w:szCs w:val="22"/>
        </w:rPr>
        <w:t xml:space="preserve">✔ Previous published reports of GLP-1/GIP receptor agonist-associated AKI exist</w:t>
      </w:r>
    </w:p>
    <w:p>
      <w:pPr>
        <w:spacing w:after="40"/>
      </w:pPr>
      <w:r>
        <w:rPr>
          <w:sz w:val="22"/>
          <w:szCs w:val="22"/>
        </w:rPr>
        <w:t xml:space="preserve">✘ Rechallenge not performed (drug permanently discontinued)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Naranjo Assessment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900"/>
        <w:gridCol w:w="900"/>
        <w:gridCol w:w="1200"/>
        <w:gridCol w:w="1200"/>
      </w:tblGrid>
      <w:tr>
        <w:tc>
          <w:tcPr>
            <w:tcW w:type="dxa" w:w="9500"/>
            <w:gridSpan w:val="5"/>
            <w:shd w:fill="BDD7E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Naranjo Adverse Drug Reaction Probability Scale</w:t>
            </w:r>
          </w:p>
        </w:tc>
      </w:tr>
      <w:tr>
        <w:tc>
          <w:tcPr>
            <w:tcW w:type="dxa" w:w="53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Do Not
Know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Are there previous conclusive reports on this reaction?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Did the adverse event appear after the suspected drug was administered?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Did the adverse reaction improve when the drug was discontinued or a specific antagonist was administered?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Did the adverse event reappear when the drug was re-administered?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Are there alternative causes (other than the drug) that could on their own have caused the reaction?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Did the reaction reappear when a placebo was given?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Was the drug detected in blood (or other fluids) in concentrations known to be toxic?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Was the reaction more severe when the dose was increased or less severe when the dose was decreased?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Did the patient have a similar reaction to the same or similar drugs in any previous exposure?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Was the adverse event confirmed by any objective evidence?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8300"/>
            <w:gridSpan w:val="4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SCORE: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Causality Classification</w:t>
      </w:r>
    </w:p>
    <w:p>
      <w:pPr>
        <w:spacing w:after="40"/>
      </w:pPr>
      <w:r>
        <w:rPr>
          <w:sz w:val="22"/>
          <w:szCs w:val="22"/>
        </w:rPr>
        <w:t xml:space="preserve">Naranjo Scale – Probable ADR (Score: 5)</w:t>
      </w:r>
    </w:p>
    <w:p>
      <w:pPr>
        <w:spacing w:after="40"/>
      </w:pPr>
      <w:r>
        <w:rPr>
          <w:sz w:val="22"/>
          <w:szCs w:val="22"/>
        </w:rPr>
        <w:t xml:space="preserve">WHO-UMC Scale – Probable/Likely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Severity</w:t>
      </w:r>
    </w:p>
    <w:p>
      <w:pPr>
        <w:spacing w:after="40"/>
      </w:pPr>
      <w:r>
        <w:rPr>
          <w:sz w:val="22"/>
          <w:szCs w:val="22"/>
        </w:rPr>
        <w:t xml:space="preserve">Severe (Level 5–6 on the Hartwig Severity Scale)</w:t>
      </w:r>
    </w:p>
    <w:p>
      <w:pPr>
        <w:spacing w:after="40"/>
      </w:pPr>
      <w:r>
        <w:rPr>
          <w:sz w:val="22"/>
          <w:szCs w:val="22"/>
        </w:rPr>
        <w:t xml:space="preserve">Required ICU admission, specific antihyperkalemic/acidosis treatment, drug discontinued, patient recovered fully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Mechanism</w:t>
      </w:r>
    </w:p>
    <w:p>
      <w:pPr>
        <w:spacing w:after="160"/>
      </w:pPr>
      <w:r>
        <w:rPr>
          <w:sz w:val="22"/>
          <w:szCs w:val="22"/>
        </w:rPr>
        <w:t xml:space="preserve">GLP-1/GIP receptor agonists such as tirzepatide can precipitate acute kidney injury through volume depletion secondary to gastrointestinal adverse effects (reduced appetite, nausea, vomiting, diarrhea) leading to a pre-renal state, particularly when combined with RAAS-inhibiting or potassium-sparing antihypertensive agents. Rapid dose escalation beyond the standard 4-week titration interval may intensify these hemodynamic effects. Less commonly, intrinsic mechanisms such as acute interstitial nephritis or rhabdomyolysis-induced acute tubular necrosis have also been reported with this drug class.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Final Diagnosis</w:t>
      </w:r>
    </w:p>
    <w:p>
      <w:pPr>
        <w:spacing w:after="240"/>
      </w:pPr>
      <w:r>
        <w:rPr>
          <w:b w:val="false"/>
          <w:bCs w:val="false"/>
          <w:sz w:val="22"/>
          <w:szCs w:val="22"/>
        </w:rPr>
        <w:t xml:space="preserve">Tirzepatide-induced Acute Kidney Injury with Hyperkalemia and Metabolic Acidosis</w:t>
      </w:r>
    </w:p>
    <w:p>
      <w:pPr>
        <w:spacing w:after="400"/>
      </w:pPr>
    </w:p>
    <w:p>
      <w:pPr>
        <w:jc w:val="right"/>
      </w:pPr>
      <w:r>
        <w:rPr>
          <w:b/>
          <w:bCs/>
          <w:sz w:val="22"/>
          <w:szCs w:val="22"/>
        </w:rPr>
        <w:t xml:space="preserve">SANGEETHA</w:t>
      </w:r>
    </w:p>
    <w:p>
      <w:pPr>
        <w:jc w:val="right"/>
      </w:pPr>
      <w:r>
        <w:rPr>
          <w:sz w:val="22"/>
          <w:szCs w:val="22"/>
        </w:rPr>
        <w:t xml:space="preserve">8247304381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2026-07-16T12:57:24.440Z</dcterms:created>
  <dcterms:modified xsi:type="dcterms:W3CDTF">2026-07-16T12:57:24.466Z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