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धारा 152 — Compounding आदेश</w:t>
      </w:r>
    </w:p>
    <w:p>
      <w:pPr>
        <w:pStyle w:val="Heading1"/>
        <w:jc w:val="center"/>
      </w:pPr>
      <w:r>
        <w:t>Section 152 Compounding Order</w:t>
      </w:r>
    </w:p>
    <w:p>
      <w:pPr>
        <w:jc w:val="right"/>
      </w:pPr>
      <w:r>
        <w:rPr>
          <w:b w:val="0"/>
          <w:sz w:val="22"/>
        </w:rPr>
        <w:t>Case No.: {{ disno }}    Date: {{ Date 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Consumer</w:t>
            </w:r>
          </w:p>
        </w:tc>
        <w:tc>
          <w:tcPr>
            <w:tcW w:type="dxa" w:w="4320"/>
            <w:vAlign w:val="center"/>
          </w:tcPr>
          <w:p>
            <w:r>
              <w:t>{{ NAME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Father</w:t>
            </w:r>
          </w:p>
        </w:tc>
        <w:tc>
          <w:tcPr>
            <w:tcW w:type="dxa" w:w="4320"/>
            <w:vAlign w:val="center"/>
          </w:tcPr>
          <w:p>
            <w:r>
              <w:t>{{ father_nane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Village</w:t>
            </w:r>
          </w:p>
        </w:tc>
        <w:tc>
          <w:tcPr>
            <w:tcW w:type="dxa" w:w="4320"/>
            <w:vAlign w:val="center"/>
          </w:tcPr>
          <w:p>
            <w:r>
              <w:t>{{ VILLAGE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Account</w:t>
            </w:r>
          </w:p>
        </w:tc>
        <w:tc>
          <w:tcPr>
            <w:tcW w:type="dxa" w:w="4320"/>
            <w:vAlign w:val="center"/>
          </w:tcPr>
          <w:p>
            <w:r>
              <w:t>{{ ACCOUNT_ID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Section</w:t>
            </w:r>
          </w:p>
        </w:tc>
        <w:tc>
          <w:tcPr>
            <w:tcW w:type="dxa" w:w="4320"/>
            <w:vAlign w:val="center"/>
          </w:tcPr>
          <w:p>
            <w:r>
              <w:t>{{ SECTION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Connected Load</w:t>
            </w:r>
          </w:p>
        </w:tc>
        <w:tc>
          <w:tcPr>
            <w:tcW w:type="dxa" w:w="4320"/>
            <w:vAlign w:val="center"/>
          </w:tcPr>
          <w:p>
            <w:r>
              <w:t>{{ CONNECTED_LOAD }} kW</w:t>
            </w:r>
          </w:p>
        </w:tc>
      </w:tr>
      <w:tr>
        <w:tc>
          <w:tcPr>
            <w:tcW w:type="dxa" w:w="4320"/>
            <w:vAlign w:val="center"/>
          </w:tcPr>
          <w:p>
            <w:r>
              <w:t>Compounding Amount</w:t>
            </w:r>
          </w:p>
        </w:tc>
        <w:tc>
          <w:tcPr>
            <w:tcW w:type="dxa" w:w="4320"/>
            <w:vAlign w:val="center"/>
          </w:tcPr>
          <w:p>
            <w:r>
              <w:t>₹ {{ COMPOUNDING_AMOUNT }}</w:t>
            </w:r>
          </w:p>
        </w:tc>
      </w:tr>
    </w:tbl>
    <w:p>
      <w:pPr>
        <w:pStyle w:val="Heading2"/>
        <w:jc w:val="left"/>
      </w:pPr>
      <w:r>
        <w:t>औचित्य / Justification</w:t>
      </w:r>
    </w:p>
    <w:p>
      <w:pPr>
        <w:jc w:val="left"/>
      </w:pPr>
      <w:r>
        <w:rPr>
          <w:b w:val="0"/>
          <w:sz w:val="22"/>
        </w:rPr>
        <w:t>{{ COMPOUNDING_JUSTIFICATION }}</w:t>
      </w:r>
    </w:p>
    <w:p>
      <w:pPr>
        <w:jc w:val="left"/>
      </w:pPr>
      <w:r>
        <w:rPr>
          <w:b/>
          <w:sz w:val="22"/>
        </w:rPr>
        <w:br/>
        <w:t>उपरोक्त आधार पर धारा 152 के अंतर्गत Compounding शुल्क ₹ {{ COMPOUNDING_AMOUNT }} निर्धारित किया जाता है।</w:t>
      </w:r>
    </w:p>
    <w:p>
      <w:pPr>
        <w:jc w:val="right"/>
      </w:pPr>
      <w:r>
        <w:rPr>
          <w:b w:val="0"/>
          <w:sz w:val="22"/>
        </w:rPr>
        <w:br/>
        <w:br/>
        <w:t>अधिशासी अभियन्ता</w:t>
        <w:br/>
        <w:t>खण्ड {{ Div_no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