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"/>
      </w:pPr>
      <w:r>
        <w:rPr>
          <w:rFonts w:ascii="Calibri" w:cs="Calibri" w:eastAsia="Calibri" w:hAnsi="Calibri"/>
          <w:b/>
          <w:bCs/>
          <w:color w:val="1E1E1E"/>
          <w:sz w:val="24"/>
          <w:szCs w:val="24"/>
        </w:rPr>
        <w:t xml:space="preserve">PLATFORM OVERVIEW</w:t>
      </w:r>
    </w:p>
    <w:p>
      <w:pPr>
        <w:spacing w:after="160" w:before="0"/>
      </w:pPr>
      <w:r>
        <w:rPr>
          <w:rFonts w:ascii="Calibri" w:cs="Calibri" w:eastAsia="Calibri" w:hAnsi="Calibri"/>
          <w:color w:val="495057"/>
          <w:sz w:val="18"/>
          <w:szCs w:val="18"/>
        </w:rPr>
        <w:t xml:space="preserve">Momento is a location-based social platform where creators monetize through blockchain technology — from token launches and prediction markets to yield-bearing stablecoins. Built as a Turbo monorepo with shared types across a React Native mobile app, Next.js API, and marketing site.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E1E1E"/>
          <w:sz w:val="24"/>
          <w:szCs w:val="24"/>
        </w:rPr>
        <w:t xml:space="preserve">TECHNOLOGY STACK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600"/>
        <w:gridCol w:w="6000"/>
      </w:tblGrid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495057"/>
                <w:sz w:val="16"/>
                <w:szCs w:val="16"/>
              </w:rPr>
              <w:t xml:space="preserve">LAYER</w:t>
            </w:r>
          </w:p>
        </w:tc>
        <w:tc>
          <w:tcPr>
            <w:tcW w:type="dxa" w:w="6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495057"/>
                <w:sz w:val="16"/>
                <w:szCs w:val="16"/>
              </w:rPr>
              <w:t xml:space="preserve">TECHNOLOGY</w:t>
            </w:r>
          </w:p>
        </w:tc>
        <w:tc>
          <w:tcPr>
            <w:tcW w:type="dxa" w:w="6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495057"/>
                <w:sz w:val="16"/>
                <w:szCs w:val="16"/>
              </w:rPr>
              <w:t xml:space="preserve">ADVANTAGE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971C2"/>
                <w:sz w:val="17"/>
                <w:szCs w:val="17"/>
              </w:rPr>
              <w:t xml:space="preserve">Mobile</w:t>
            </w:r>
          </w:p>
        </w:tc>
        <w:tc>
          <w:tcPr>
            <w:tcW w:type="dxa" w:w="6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1E1E"/>
                <w:sz w:val="17"/>
                <w:szCs w:val="17"/>
              </w:rPr>
              <w:t xml:space="preserve">Expo 54, React Native 0.81, Expo Router, React Query</w:t>
            </w:r>
          </w:p>
        </w:tc>
        <w:tc>
          <w:tcPr>
            <w:tcW w:type="dxa" w:w="6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868E96"/>
                <w:sz w:val="16"/>
                <w:szCs w:val="16"/>
              </w:rPr>
              <w:t xml:space="preserve">Single codebase iOS + Android; OTA updates; offline-first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B8A3E"/>
                <w:sz w:val="17"/>
                <w:szCs w:val="17"/>
              </w:rPr>
              <w:t xml:space="preserve">Backend</w:t>
            </w:r>
          </w:p>
        </w:tc>
        <w:tc>
          <w:tcPr>
            <w:tcW w:type="dxa" w:w="6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1E1E"/>
                <w:sz w:val="17"/>
                <w:szCs w:val="17"/>
              </w:rPr>
              <w:t xml:space="preserve">Next.js 14 on Vercel (serverless), Prisma ORM</w:t>
            </w:r>
          </w:p>
        </w:tc>
        <w:tc>
          <w:tcPr>
            <w:tcW w:type="dxa" w:w="6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868E96"/>
                <w:sz w:val="16"/>
                <w:szCs w:val="16"/>
              </w:rPr>
              <w:t xml:space="preserve">Auto-scaling; type-safe DB; 26 endpoints with auth + caching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B8A3E"/>
                <w:sz w:val="17"/>
                <w:szCs w:val="17"/>
              </w:rPr>
              <w:t xml:space="preserve">Database</w:t>
            </w:r>
          </w:p>
        </w:tc>
        <w:tc>
          <w:tcPr>
            <w:tcW w:type="dxa" w:w="6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1E1E"/>
                <w:sz w:val="17"/>
                <w:szCs w:val="17"/>
              </w:rPr>
              <w:t xml:space="preserve">PostgreSQL + PostGIS on Supabase (8 models)</w:t>
            </w:r>
          </w:p>
        </w:tc>
        <w:tc>
          <w:tcPr>
            <w:tcW w:type="dxa" w:w="6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868E96"/>
                <w:sz w:val="16"/>
                <w:szCs w:val="16"/>
              </w:rPr>
              <w:t xml:space="preserve">Sub-100ms geo-lookups; spatial feed with auto-expanding radius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E8590C"/>
                <w:sz w:val="17"/>
                <w:szCs w:val="17"/>
              </w:rPr>
              <w:t xml:space="preserve">Caching</w:t>
            </w:r>
          </w:p>
        </w:tc>
        <w:tc>
          <w:tcPr>
            <w:tcW w:type="dxa" w:w="6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1E1E"/>
                <w:sz w:val="17"/>
                <w:szCs w:val="17"/>
              </w:rPr>
              <w:t xml:space="preserve">Upstash Redis (serverless, location-quantized)</w:t>
            </w:r>
          </w:p>
        </w:tc>
        <w:tc>
          <w:tcPr>
            <w:tcW w:type="dxa" w:w="6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868E96"/>
                <w:sz w:val="16"/>
                <w:szCs w:val="16"/>
              </w:rPr>
              <w:t xml:space="preserve">~1km grid keys; 60s feed / 30s wallet / 300s profile TTLs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048E8"/>
                <w:sz w:val="17"/>
                <w:szCs w:val="17"/>
              </w:rPr>
              <w:t xml:space="preserve">Auth</w:t>
            </w:r>
          </w:p>
        </w:tc>
        <w:tc>
          <w:tcPr>
            <w:tcW w:type="dxa" w:w="6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1E1E"/>
                <w:sz w:val="17"/>
                <w:szCs w:val="17"/>
              </w:rPr>
              <w:t xml:space="preserve">Privy (Google OAuth + Solana wallets) + Veriff KYC</w:t>
            </w:r>
          </w:p>
        </w:tc>
        <w:tc>
          <w:tcPr>
            <w:tcW w:type="dxa" w:w="6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868E96"/>
                <w:sz w:val="16"/>
                <w:szCs w:val="16"/>
              </w:rPr>
              <w:t xml:space="preserve">Zero-friction wallet on signup; regulatory-ready verification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E8590C"/>
                <w:sz w:val="17"/>
                <w:szCs w:val="17"/>
              </w:rPr>
              <w:t xml:space="preserve">Blockchain</w:t>
            </w:r>
          </w:p>
        </w:tc>
        <w:tc>
          <w:tcPr>
            <w:tcW w:type="dxa" w:w="6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1E1E"/>
                <w:sz w:val="17"/>
                <w:szCs w:val="17"/>
              </w:rPr>
              <w:t xml:space="preserve">Solana via Helius RPC + DAS; Jupiter v6; Meteora</w:t>
            </w:r>
          </w:p>
        </w:tc>
        <w:tc>
          <w:tcPr>
            <w:tcW w:type="dxa" w:w="6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868E96"/>
                <w:sz w:val="16"/>
                <w:szCs w:val="16"/>
              </w:rPr>
              <w:t xml:space="preserve">Sub-second finality; best-price routing; dynamic LP pools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495057"/>
                <w:sz w:val="17"/>
                <w:szCs w:val="17"/>
              </w:rPr>
              <w:t xml:space="preserve">Storage</w:t>
            </w:r>
          </w:p>
        </w:tc>
        <w:tc>
          <w:tcPr>
            <w:tcW w:type="dxa" w:w="6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1E1E"/>
                <w:sz w:val="17"/>
                <w:szCs w:val="17"/>
              </w:rPr>
              <w:t xml:space="preserve">Supabase Storage + Expo Push (7 event types)</w:t>
            </w:r>
          </w:p>
        </w:tc>
        <w:tc>
          <w:tcPr>
            <w:tcW w:type="dxa" w:w="6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868E96"/>
                <w:sz w:val="16"/>
                <w:szCs w:val="16"/>
              </w:rPr>
              <w:t xml:space="preserve">Presigned uploads; fire-and-forget batched notifications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048E8"/>
                <w:sz w:val="17"/>
                <w:szCs w:val="17"/>
              </w:rPr>
              <w:t xml:space="preserve">AI (Planned)</w:t>
            </w:r>
          </w:p>
        </w:tc>
        <w:tc>
          <w:tcPr>
            <w:tcW w:type="dxa" w:w="6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1E1E"/>
                <w:sz w:val="17"/>
                <w:szCs w:val="17"/>
              </w:rPr>
              <w:t xml:space="preserve">pgvector embeddings, cross-platform agents</w:t>
            </w:r>
          </w:p>
        </w:tc>
        <w:tc>
          <w:tcPr>
            <w:tcW w:type="dxa" w:w="6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868E96"/>
                <w:sz w:val="16"/>
                <w:szCs w:val="16"/>
              </w:rPr>
              <w:t xml:space="preserve">Semantic search; auto-distribute to IG/TikTok/X/YouTube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E8590C"/>
                <w:sz w:val="17"/>
                <w:szCs w:val="17"/>
              </w:rPr>
              <w:t xml:space="preserve">DeFi (Planned)</w:t>
            </w:r>
          </w:p>
        </w:tc>
        <w:tc>
          <w:tcPr>
            <w:tcW w:type="dxa" w:w="6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1E1E"/>
                <w:sz w:val="17"/>
                <w:szCs w:val="17"/>
              </w:rPr>
              <w:t xml:space="preserve">Kamino, Marinade (Solana) / Aave, Lido (ETH)</w:t>
            </w:r>
          </w:p>
        </w:tc>
        <w:tc>
          <w:tcPr>
            <w:tcW w:type="dxa" w:w="6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868E96"/>
                <w:sz w:val="16"/>
                <w:szCs w:val="16"/>
              </w:rPr>
              <w:t xml:space="preserve">Idle stablecoins earn yield; one-tap deposit/withdraw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E1E1E"/>
          <w:sz w:val="24"/>
          <w:szCs w:val="24"/>
        </w:rPr>
        <w:t xml:space="preserve">ARCHITECTURE HIGHLIGHTS</w:t>
      </w:r>
    </w:p>
    <w:p>
      <w:pPr>
        <w:pBdr>
          <w:left w:val="single" w:color="1971C2" w:sz="12" w:space="8"/>
        </w:pBdr>
        <w:spacing w:after="40" w:before="100"/>
        <w:ind w:left="200"/>
      </w:pPr>
      <w:r>
        <w:rPr>
          <w:rFonts w:ascii="Calibri" w:cs="Calibri" w:eastAsia="Calibri" w:hAnsi="Calibri"/>
          <w:b/>
          <w:bCs/>
          <w:color w:val="1971C2"/>
          <w:sz w:val="18"/>
          <w:szCs w:val="18"/>
        </w:rPr>
        <w:t xml:space="preserve">Smart Feed Ranking</w:t>
      </w:r>
      <w:r>
        <w:t xml:space="preserve">  </w:t>
      </w:r>
      <w:r>
        <w:rPr>
          <w:rFonts w:ascii="Calibri" w:cs="Calibri" w:eastAsia="Calibri" w:hAnsi="Calibri"/>
          <w:color w:val="495057"/>
          <w:sz w:val="16"/>
          <w:szCs w:val="16"/>
        </w:rPr>
        <w:t xml:space="preserve">5 configurable sort modes with weighted scoring (recency, engagement, proximity, following). Algorithm transparency modal shows users exactly how their feed is ranked — building trust through openness.</w:t>
      </w:r>
    </w:p>
    <w:p>
      <w:pPr>
        <w:pBdr>
          <w:left w:val="single" w:color="2B8A3E" w:sz="12" w:space="8"/>
        </w:pBdr>
        <w:spacing w:after="40" w:before="100"/>
        <w:ind w:left="200"/>
      </w:pPr>
      <w:r>
        <w:rPr>
          <w:rFonts w:ascii="Calibri" w:cs="Calibri" w:eastAsia="Calibri" w:hAnsi="Calibri"/>
          <w:b/>
          <w:bCs/>
          <w:color w:val="2B8A3E"/>
          <w:sz w:val="18"/>
          <w:szCs w:val="18"/>
        </w:rPr>
        <w:t xml:space="preserve">Location-First Discovery</w:t>
      </w:r>
      <w:r>
        <w:t xml:space="preserve">  </w:t>
      </w:r>
      <w:r>
        <w:rPr>
          <w:rFonts w:ascii="Calibri" w:cs="Calibri" w:eastAsia="Calibri" w:hAnsi="Calibri"/>
          <w:color w:val="495057"/>
          <w:sz w:val="16"/>
          <w:szCs w:val="16"/>
        </w:rPr>
        <w:t xml:space="preserve">PostGIS geography columns power spatial queries with auto-expanding radius. Location quantized to ~1km for cache efficiency. Users discover nearby creators organically — proximity is a first-class signal, not an afterthought.</w:t>
      </w:r>
    </w:p>
    <w:p>
      <w:pPr>
        <w:pBdr>
          <w:left w:val="single" w:color="7048E8" w:sz="12" w:space="8"/>
        </w:pBdr>
        <w:spacing w:after="40" w:before="100"/>
        <w:ind w:left="200"/>
      </w:pPr>
      <w:r>
        <w:rPr>
          <w:rFonts w:ascii="Calibri" w:cs="Calibri" w:eastAsia="Calibri" w:hAnsi="Calibri"/>
          <w:b/>
          <w:bCs/>
          <w:color w:val="7048E8"/>
          <w:sz w:val="18"/>
          <w:szCs w:val="18"/>
        </w:rPr>
        <w:t xml:space="preserve">Blockchain-Native Wallets</w:t>
      </w:r>
      <w:r>
        <w:t xml:space="preserve">  </w:t>
      </w:r>
      <w:r>
        <w:rPr>
          <w:rFonts w:ascii="Calibri" w:cs="Calibri" w:eastAsia="Calibri" w:hAnsi="Calibri"/>
          <w:color w:val="495057"/>
          <w:sz w:val="16"/>
          <w:szCs w:val="16"/>
        </w:rPr>
        <w:t xml:space="preserve">Every user has a real Solana wallet from first login via Privy — no seed phrases, no extensions. Balances update in real-time via Helius DAS. Portfolio snapshots enable historical charts. Ready for swaps and DeFi on day one.</w:t>
      </w:r>
    </w:p>
    <w:p>
      <w:pPr>
        <w:pBdr>
          <w:left w:val="single" w:color="E8590C" w:sz="12" w:space="8"/>
        </w:pBdr>
        <w:spacing w:after="40" w:before="100"/>
        <w:ind w:left="200"/>
      </w:pPr>
      <w:r>
        <w:rPr>
          <w:rFonts w:ascii="Calibri" w:cs="Calibri" w:eastAsia="Calibri" w:hAnsi="Calibri"/>
          <w:b/>
          <w:bCs/>
          <w:color w:val="E8590C"/>
          <w:sz w:val="18"/>
          <w:szCs w:val="18"/>
        </w:rPr>
        <w:t xml:space="preserve">AI-Ready Architecture</w:t>
      </w:r>
      <w:r>
        <w:t xml:space="preserve">  </w:t>
      </w:r>
      <w:r>
        <w:rPr>
          <w:rFonts w:ascii="Calibri" w:cs="Calibri" w:eastAsia="Calibri" w:hAnsi="Calibri"/>
          <w:color w:val="495057"/>
          <w:sz w:val="16"/>
          <w:szCs w:val="16"/>
        </w:rPr>
        <w:t xml:space="preserve">Feed ranking already uses configurable weight presets — the same pattern extends to ML personalization. Schema supports pgvector for semantic search. Modular hooks enable plug-in AI agents for cross-platform content distribution.</w:t>
      </w:r>
    </w:p>
    <w:p>
      <w:pPr>
        <w:sectPr>
          <w:headerReference w:type="default" r:id="rId7"/>
          <w:footerReference w:type="default" r:id="rId8"/>
          <w:pgSz w:w="15840" w:h="12240" w:orient="landscape"/>
          <w:pgMar w:top="540" w:right="720" w:bottom="540" w:left="720" w:header="708" w:footer="708" w:gutter="0"/>
          <w:pgNumType/>
          <w:docGrid w:linePitch="360"/>
        </w:sectPr>
      </w:pP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1E1E1E"/>
          <w:sz w:val="28"/>
          <w:szCs w:val="28"/>
        </w:rPr>
        <w:t xml:space="preserve">FEATURE-FOCUSED TECHNICAL ROADMAP</w:t>
      </w:r>
    </w:p>
    <w:p>
      <w:pPr>
        <w:spacing w:after="0" w:before="0"/>
        <w:jc w:val="center"/>
      </w:pPr>
      <w:r>
        <w:drawing>
          <wp:inline distT="0" distB="0" distL="0" distR="0">
            <wp:extent cx="9144000" cy="4219575"/>
            <wp:effectExtent t="0" r="0" b="0" l="0"/>
            <wp:docPr id="1" name="roadmap" descr="5-phase roadmap: Done, Now, Next, Future, Horizon" title="Momento Technical Road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5840" w:h="12240" w:orient="landscape"/>
      <w:pgMar w:top="360" w:right="360" w:bottom="36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E2E6" w:sz="1" w:space="4"/>
      </w:pBdr>
      <w:tabs>
        <w:tab w:val="right" w:pos="9026"/>
      </w:tabs>
      <w:spacing w:after="0" w:before="60"/>
    </w:pPr>
    <w:r>
      <w:rPr>
        <w:rFonts w:ascii="Calibri" w:cs="Calibri" w:eastAsia="Calibri" w:hAnsi="Calibri"/>
        <w:color w:val="868E96"/>
        <w:sz w:val="13"/>
        <w:szCs w:val="13"/>
      </w:rPr>
      <w:t xml:space="preserve">Solana: Jupiter v6 | Meteora | Raydium | Kamino | Metaplex | Helius | Birdeye</w:t>
    </w:r>
    <w:r>
      <w:rPr>
        <w:rFonts w:ascii="Calibri" w:cs="Calibri" w:eastAsia="Calibri" w:hAnsi="Calibri"/>
        <w:color w:val="868E96"/>
        <w:sz w:val="13"/>
        <w:szCs w:val="13"/>
      </w:rPr>
      <w:t xml:space="preserve">	Ethereum: Aave v3 | Lido | Polymarket | Maker DSR</w:t>
    </w:r>
  </w:p>
  <w:p>
    <w:pPr>
      <w:tabs>
        <w:tab w:val="right" w:pos="9026"/>
      </w:tabs>
      <w:spacing w:after="0" w:before="20"/>
    </w:pPr>
    <w:r>
      <w:rPr>
        <w:rFonts w:ascii="Calibri" w:cs="Calibri" w:eastAsia="Calibri" w:hAnsi="Calibri"/>
        <w:color w:val="868E96"/>
        <w:sz w:val="13"/>
        <w:szCs w:val="13"/>
      </w:rPr>
      <w:t xml:space="preserve">Infra: Vercel | Supabase | Upstash Redis | Privy | Veriff | Expo EAS</w:t>
    </w:r>
    <w:r>
      <w:rPr>
        <w:rFonts w:ascii="Calibri" w:cs="Calibri" w:eastAsia="Calibri" w:hAnsi="Calibri"/>
        <w:color w:val="868E96"/>
        <w:sz w:val="13"/>
        <w:szCs w:val="13"/>
      </w:rPr>
      <w:t xml:space="preserve">	momento |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E1E1E" w:val="clear"/>
      <w:spacing w:after="0" w:before="0"/>
      <w:jc w:val="center"/>
    </w:pPr>
    <w:r>
      <w:rPr>
        <w:sz w:val="8"/>
        <w:szCs w:val="8"/>
      </w:rPr>
      <w:t xml:space="preserve"> </w:t>
    </w:r>
  </w:p>
  <w:p>
    <w:pPr>
      <w:shd w:fill="1E1E1E" w:val="clear"/>
      <w:spacing w:after="0" w:before="0"/>
      <w:jc w:val="center"/>
    </w:pPr>
    <w:r>
      <w:rPr>
        <w:rFonts w:ascii="Calibri" w:cs="Calibri" w:eastAsia="Calibri" w:hAnsi="Calibri"/>
        <w:b/>
        <w:bCs/>
        <w:color w:val="FFFFFF"/>
        <w:sz w:val="44"/>
        <w:szCs w:val="44"/>
      </w:rPr>
      <w:t xml:space="preserve">MOMENTO — TECHNICAL OVERVIEW</w:t>
    </w:r>
  </w:p>
  <w:p>
    <w:pPr>
      <w:shd w:fill="1E1E1E" w:val="clear"/>
      <w:spacing w:after="80" w:before="0"/>
      <w:jc w:val="center"/>
    </w:pPr>
    <w:r>
      <w:rPr>
        <w:rFonts w:ascii="Calibri" w:cs="Calibri" w:eastAsia="Calibri" w:hAnsi="Calibri"/>
        <w:color w:val="ADB5BD"/>
        <w:sz w:val="20"/>
        <w:szCs w:val="20"/>
      </w:rPr>
      <w:t xml:space="preserve">Creator Ecosystem  |  Blockchain Monetization  |  AI-Powered Distribution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27d9d7ed638afe80f29b6997a2d441246c9b25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2026-03-24T13:21:42.591Z</dcterms:created>
  <dcterms:modified xsi:type="dcterms:W3CDTF">2026-03-24T13:21:42.592Z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