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 Information Security Policy</w:t>
      </w:r>
    </w:p>
    <w:p>
      <w:pPr>
        <w:pStyle w:val="Heading1"/>
      </w:pPr>
      <w:r>
        <w:t>Password requirements</w:t>
      </w:r>
    </w:p>
    <w:p>
      <w:r>
        <w:t>Passwords must be at least 14 characters and are rotated only on suspected compromise. Multi-factor authentication is mandatory for email, VPN and the admin console.</w:t>
      </w:r>
    </w:p>
    <w:p>
      <w:pPr>
        <w:pStyle w:val="Heading1"/>
      </w:pPr>
      <w:r>
        <w:t>Data classification</w:t>
      </w:r>
    </w:p>
    <w:p>
      <w:r>
        <w:t>Data is classified as Public, Internal, Confidential or Restricted. Customer personal data and financial records are Restricted and may only be shared with approval from the Security Officer.</w:t>
      </w:r>
    </w:p>
    <w:p>
      <w:pPr>
        <w:pStyle w:val="Heading1"/>
      </w:pPr>
      <w:r>
        <w:t>Incident reporting</w:t>
      </w:r>
    </w:p>
    <w:p>
      <w:r>
        <w:t>Any suspected security incident must be reported to security@acme.example within 1 hour of discovery. Do not attempt to investigate or delete evidence yourself.</w:t>
      </w:r>
    </w:p>
    <w:p>
      <w:pPr>
        <w:pStyle w:val="Heading1"/>
      </w:pPr>
      <w:r>
        <w:t>Acceptable use of AI tools</w:t>
      </w:r>
    </w:p>
    <w:p>
      <w:r>
        <w:t>Employees must not paste Confidential or Restricted data into external AI services. Only approved, locally hosted AI tools may process company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Retention</w:t>
            </w:r>
          </w:p>
        </w:tc>
      </w:tr>
      <w:tr>
        <w:tc>
          <w:tcPr>
            <w:tcW w:type="dxa" w:w="4320"/>
          </w:tcPr>
          <w:p>
            <w:r>
              <w:t>Internal</w:t>
            </w:r>
          </w:p>
        </w:tc>
        <w:tc>
          <w:tcPr>
            <w:tcW w:type="dxa" w:w="4320"/>
          </w:tcPr>
          <w:p>
            <w:r>
              <w:t>3 years</w:t>
            </w:r>
          </w:p>
        </w:tc>
      </w:tr>
      <w:tr>
        <w:tc>
          <w:tcPr>
            <w:tcW w:type="dxa" w:w="4320"/>
          </w:tcPr>
          <w:p>
            <w:r>
              <w:t>Confidential</w:t>
            </w:r>
          </w:p>
        </w:tc>
        <w:tc>
          <w:tcPr>
            <w:tcW w:type="dxa" w:w="4320"/>
          </w:tcPr>
          <w:p>
            <w:r>
              <w:t>7 years</w:t>
            </w:r>
          </w:p>
        </w:tc>
      </w:tr>
      <w:tr>
        <w:tc>
          <w:tcPr>
            <w:tcW w:type="dxa" w:w="4320"/>
          </w:tcPr>
          <w:p>
            <w:r>
              <w:t>Restricted</w:t>
            </w:r>
          </w:p>
        </w:tc>
        <w:tc>
          <w:tcPr>
            <w:tcW w:type="dxa" w:w="4320"/>
          </w:tcPr>
          <w:p>
            <w:r>
              <w:t>10 years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