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B5E20"/>
          <w:sz w:val="36"/>
        </w:rPr>
        <w:t>전남광주특별시</w:t>
      </w:r>
    </w:p>
    <w:p>
      <w:pPr>
        <w:jc w:val="center"/>
      </w:pPr>
      <w:r>
        <w:rPr>
          <w:rFonts w:ascii="맑은 고딕" w:hAnsi="맑은 고딕" w:eastAsia="맑은 고딕"/>
          <w:b/>
          <w:color w:val="1A237E"/>
          <w:sz w:val="72"/>
        </w:rPr>
        <w:t>미 래 전 환 기 금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1565C0"/>
          <w:sz w:val="40"/>
        </w:rPr>
        <w:t>20조 원을 100년 성장자본으로</w:t>
      </w:r>
    </w:p>
    <w:p>
      <w:pPr>
        <w:jc w:val="center"/>
      </w:pPr>
      <w:r>
        <w:rPr>
          <w:rFonts w:ascii="맑은 고딕" w:hAnsi="맑은 고딕" w:eastAsia="맑은 고딕"/>
          <w:color w:val="606060"/>
          <w:sz w:val="28"/>
        </w:rPr>
        <w:t>국민연금식 장기자산배분 벤치마크 운용방안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i/>
          <w:color w:val="1B5E20"/>
          <w:sz w:val="26"/>
        </w:rPr>
        <w:t>쓰고 끝나는 20조가 아니라, 매년 돌아오는 20조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color w:val="606060"/>
          <w:sz w:val="22"/>
        </w:rPr>
        <w:t>민형배 시장 보고자료  |  2026. 06</w:t>
        <w:br/>
        <w:t>전남광주 미래전환기금 준비위원회</w:t>
      </w:r>
    </w:p>
    <w:p>
      <w:r>
        <w:br w:type="page"/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핵심 요약 (Executive Summary)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전남광주특별시가 수령할 중앙정부 지원 재원 20조 원은 단기 지출예산이 아니라 통합특별시의 초기 자본금이다. 이 중 12조 원을 전남광주 미래전환기금으로 제도화하여, 국민연금식 장기·분산·위험관리형 자산배분 원칙을 벤치마크하고, 공적기금 OCIO 경험이 있는 전문기관을 대상으로 공개경쟁 위탁운용 구조를 설계해야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무엇을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중앙정부 지원 재원 20조 중 12조를 미래전환기금으로 제도화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어떻게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국민연금식 자산배분 원칙 벤치마크, OCIO 전문기관 공개경쟁 위탁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왜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4년 소멸성 예산 → 100년 지속 성장자본으로 전환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효과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연 4% 기준 매년 약 4,800억 원 독자 전략재원 (지원 종료 후에도 지속)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선결 조건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특별법·교부조건에 '기금 출연 가능성' 명시 (이것이 없으면 전부 불가)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3F2FD"/>
          </w:tcPr>
          <w:p>
            <w:r>
              <w:rPr>
                <w:rFonts w:ascii="맑은 고딕" w:hAnsi="맑은 고딕" w:eastAsia="맑은 고딕"/>
                <w:b/>
                <w:color w:val="1565C0"/>
                <w:sz w:val="22"/>
              </w:rPr>
              <w:t>★ 핵심 슬로건: 쓰고 끝나는 20조가 아니라, 매년 돌아오는 20조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1. 현황과 문제 인식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전남광주특별시는 광주광역시와 전라남도의 행정통합으로 출범하는 대한민국 최초 초광역 통합특별시이다. 2026년 7월 출범, 인구 약 320만 명의 메가시티를 목표로 하며, 중앙정부는 4년간 최대 20조 원 규모 지원을 검토·발표하였다.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5E20"/>
          <w:sz w:val="24"/>
        </w:rPr>
        <w:t>▶ 기존 방식대로 집행하면 어떻게 되는가?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지출 방식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단기 장점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구조적 한계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SOC·도로·청사</w:t>
            </w:r>
          </w:p>
        </w:tc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가시 성과 빠름</w:t>
            </w:r>
          </w:p>
        </w:tc>
        <w:tc>
          <w:tcPr>
            <w:tcW w:type="dxa" w:w="45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유지관리비 영구 부담, 정치 배분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산업단지 조성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기업유치 명분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미분양·중복투자 위험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보조금 살포</w:t>
            </w:r>
          </w:p>
        </w:tc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단기 체감</w:t>
            </w:r>
          </w:p>
        </w:tc>
        <w:tc>
          <w:tcPr>
            <w:tcW w:type="dxa" w:w="45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의존성 심화, 4년 후 소멸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숙원사업 분산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반발 완화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전략성 소멸, 100년 계획 불가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EBEE"/>
          </w:tcPr>
          <w:p>
            <w:r>
              <w:rPr>
                <w:rFonts w:ascii="맑은 고딕" w:hAnsi="맑은 고딕" w:eastAsia="맑은 고딕"/>
                <w:b/>
                <w:color w:val="C62828"/>
                <w:sz w:val="22"/>
              </w:rPr>
              <w:t>⚠ 4년 집행 후 재원 소멸 → 유지관리비와 정치갈등만 잔존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2. 두 가지 선택: 예산 vs 자본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2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❌ 전통적 예산 방식</w:t>
            </w:r>
          </w:p>
        </w:tc>
        <w:tc>
          <w:tcPr>
            <w:tcW w:type="dxa" w:w="3855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✅ 미래전환기금 방식 (권장)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집행 형태</w:t>
            </w:r>
          </w:p>
        </w:tc>
        <w:tc>
          <w:tcPr>
            <w:tcW w:type="dxa" w:w="36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SOC·보조금·숙원사업 분산</w:t>
            </w:r>
          </w:p>
        </w:tc>
        <w:tc>
          <w:tcPr>
            <w:tcW w:type="dxa" w:w="385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직접투자(8조) + 기금(12조) 병행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4년 후 재원</w:t>
            </w:r>
          </w:p>
        </w:tc>
        <w:tc>
          <w:tcPr>
            <w:tcW w:type="dxa" w:w="362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0원 (소멸)</w:t>
            </w:r>
          </w:p>
        </w:tc>
        <w:tc>
          <w:tcPr>
            <w:tcW w:type="dxa" w:w="385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매년 수익 지속 발생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연 4% 수익</w:t>
            </w:r>
          </w:p>
        </w:tc>
        <w:tc>
          <w:tcPr>
            <w:tcW w:type="dxa" w:w="36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해당 없음</w:t>
            </w:r>
          </w:p>
        </w:tc>
        <w:tc>
          <w:tcPr>
            <w:tcW w:type="dxa" w:w="385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3,200~4,800억 원</w:t>
            </w:r>
          </w:p>
        </w:tc>
      </w:tr>
      <w:tr>
        <w:tc>
          <w:tcPr>
            <w:tcW w:type="dxa" w:w="158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20년 후</w:t>
            </w:r>
          </w:p>
        </w:tc>
        <w:tc>
          <w:tcPr>
            <w:tcW w:type="dxa" w:w="362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유지관리비·정치갈등 잔존</w:t>
            </w:r>
          </w:p>
        </w:tc>
        <w:tc>
          <w:tcPr>
            <w:tcW w:type="dxa" w:w="385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누적 6.4~9.6조 원 수익</w:t>
            </w:r>
          </w:p>
        </w:tc>
      </w:tr>
      <w:tr>
        <w:tc>
          <w:tcPr>
            <w:tcW w:type="dxa" w:w="15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통제 가능성</w:t>
            </w:r>
          </w:p>
        </w:tc>
        <w:tc>
          <w:tcPr>
            <w:tcW w:type="dxa" w:w="36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사후 통제 어려움</w:t>
            </w:r>
          </w:p>
        </w:tc>
        <w:tc>
          <w:tcPr>
            <w:tcW w:type="dxa" w:w="385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원금보전·지출상한·외부감사·공시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3. 제안 핵심: 전남광주 미래전환기금 (5대 운용 원칙)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7370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① 원금보전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원금은 미래세대 자산 — 임의 사용 금지(재난·위기 시 의회 2/3 동의 예외)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② 장기분산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국내외 주식·채권·대체투자 분산 (국민연금식 벤치마크, 복제 아님)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③ 수익지출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운용수익 범위 내 지출, 연간 지출률 상한 설정(3~4.5%)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④ 공공성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재무수익률 + 지역경제 파급효과 이중목표(Double Bottom Line)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⑤ 투명성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운용성과·지출내역 전면 공개, 외부감사 의무화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4. 기금 규모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8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8조 기금화</w:t>
            </w:r>
          </w:p>
        </w:tc>
        <w:tc>
          <w:tcPr>
            <w:tcW w:type="dxa" w:w="260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12조 기금화 (권장)</w:t>
            </w:r>
          </w:p>
        </w:tc>
        <w:tc>
          <w:tcPr>
            <w:tcW w:type="dxa" w:w="215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15조 기금화</w:t>
            </w:r>
          </w:p>
        </w:tc>
      </w:tr>
      <w:tr>
        <w:tc>
          <w:tcPr>
            <w:tcW w:type="dxa" w:w="19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직접투자 가용</w:t>
            </w:r>
          </w:p>
        </w:tc>
        <w:tc>
          <w:tcPr>
            <w:tcW w:type="dxa" w:w="238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12조</w:t>
            </w:r>
          </w:p>
        </w:tc>
        <w:tc>
          <w:tcPr>
            <w:tcW w:type="dxa" w:w="260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8조</w:t>
            </w:r>
          </w:p>
        </w:tc>
        <w:tc>
          <w:tcPr>
            <w:tcW w:type="dxa" w:w="215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5조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연 4% 수익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3,200억</w:t>
            </w:r>
          </w:p>
        </w:tc>
        <w:tc>
          <w:tcPr>
            <w:tcW w:type="dxa" w:w="260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4,800억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6,000억</w:t>
            </w:r>
          </w:p>
        </w:tc>
      </w:tr>
      <w:tr>
        <w:tc>
          <w:tcPr>
            <w:tcW w:type="dxa" w:w="19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정치 수용성</w:t>
            </w:r>
          </w:p>
        </w:tc>
        <w:tc>
          <w:tcPr>
            <w:tcW w:type="dxa" w:w="238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높음</w:t>
            </w:r>
          </w:p>
        </w:tc>
        <w:tc>
          <w:tcPr>
            <w:tcW w:type="dxa" w:w="260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중간</w:t>
            </w:r>
          </w:p>
        </w:tc>
        <w:tc>
          <w:tcPr>
            <w:tcW w:type="dxa" w:w="215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낮음</w:t>
            </w:r>
          </w:p>
        </w:tc>
      </w:tr>
      <w:tr>
        <w:tc>
          <w:tcPr>
            <w:tcW w:type="dxa" w:w="192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장기 재원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보통</w:t>
            </w:r>
          </w:p>
        </w:tc>
        <w:tc>
          <w:tcPr>
            <w:tcW w:type="dxa" w:w="260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충분</w:t>
            </w:r>
          </w:p>
        </w:tc>
        <w:tc>
          <w:tcPr>
            <w:tcW w:type="dxa" w:w="215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풍부</w:t>
            </w:r>
          </w:p>
        </w:tc>
      </w:tr>
      <w:tr>
        <w:tc>
          <w:tcPr>
            <w:tcW w:type="dxa" w:w="192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시군 갈등 위험</w:t>
            </w:r>
          </w:p>
        </w:tc>
        <w:tc>
          <w:tcPr>
            <w:tcW w:type="dxa" w:w="238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낮음</w:t>
            </w:r>
          </w:p>
        </w:tc>
        <w:tc>
          <w:tcPr>
            <w:tcW w:type="dxa" w:w="260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중간</w:t>
            </w:r>
          </w:p>
        </w:tc>
        <w:tc>
          <w:tcPr>
            <w:tcW w:type="dxa" w:w="215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높음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</w:tcPr>
          <w:p>
            <w:r>
              <w:rPr>
                <w:rFonts w:ascii="맑은 고딕" w:hAnsi="맑은 고딕" w:eastAsia="맑은 고딕"/>
                <w:b/>
                <w:color w:val="1B5E20"/>
                <w:sz w:val="22"/>
              </w:rPr>
              <w:t>★ 권장: 12조 기금화 — 장기성과·현실성·정치 수용성의 최적 균형점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맑은 고딕" w:hAnsi="맑은 고딕" w:eastAsia="맑은 고딕"/>
          <w:b/>
          <w:i w:val="0"/>
          <w:color w:val="1A237E"/>
          <w:sz w:val="22"/>
        </w:rPr>
        <w:t>권장 재원 배분안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금액</w:t>
            </w:r>
          </w:p>
        </w:tc>
        <w:tc>
          <w:tcPr>
            <w:tcW w:type="dxa" w:w="4819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미래전환기금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12조 원</w:t>
            </w:r>
          </w:p>
        </w:tc>
        <w:tc>
          <w:tcPr>
            <w:tcW w:type="dxa" w:w="481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원금보전형 장기 분산운용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미래산업 직접투자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4조 원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AI·에너지·반도체·바이오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농수축산·지역산업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2조 원</w:t>
            </w:r>
          </w:p>
        </w:tc>
        <w:tc>
          <w:tcPr>
            <w:tcW w:type="dxa" w:w="481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스마트농업·스마트축산·수산가공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생활·교통·교육·의료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1조 원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지역균형 생활기반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행정통합·디지털전환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1조 원</w:t>
            </w:r>
          </w:p>
        </w:tc>
        <w:tc>
          <w:tcPr>
            <w:tcW w:type="dxa" w:w="481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통합행정·데이터플랫폼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5. 운용 구조: 국민연금식 자산배분 벤치마크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0"/>
          </w:tcPr>
          <w:p>
            <w:r>
              <w:rPr>
                <w:rFonts w:ascii="맑은 고딕" w:hAnsi="맑은 고딕" w:eastAsia="맑은 고딕"/>
                <w:b/>
                <w:color w:val="C88A00"/>
                <w:sz w:val="22"/>
              </w:rPr>
              <w:t>⚠ '국민연금 포트폴리오를 복제'하는 것이 아니라, 장기·분산·위험관리 원칙을 전남광주형으로 벤치마크한다.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벤치마크 원칙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국민연금 현황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전남광주 적용 방향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장기 투자 시계</w:t>
            </w:r>
          </w:p>
        </w:tc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10년+ 기준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영구기금 구조(원금보전)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글로벌 분산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해외 50%+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해외주식 35%+해외채권 10%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중기자산배분</w:t>
            </w:r>
          </w:p>
        </w:tc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5년 목표비중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투자정책서 5년 주기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위험관리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VaR·손실한도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위원회 한도 설정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성과공시</w:t>
            </w:r>
          </w:p>
        </w:tc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연간 기금보고서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분기 공시 의무화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직접+위탁 병행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직접+외부위탁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OCIO 위탁 중심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6. 참조 포트폴리오 설계 (초기 5년 권장)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자산군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기준비중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허용범위</w:t>
            </w:r>
          </w:p>
        </w:tc>
        <w:tc>
          <w:tcPr>
            <w:tcW w:type="dxa" w:w="3685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목적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해외주식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35%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±5%</w:t>
            </w:r>
          </w:p>
        </w:tc>
        <w:tc>
          <w:tcPr>
            <w:tcW w:type="dxa" w:w="368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장기 성장수익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국내주식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10%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±3%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국내 산업 연계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국내채권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20%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±5%</w:t>
            </w:r>
          </w:p>
        </w:tc>
        <w:tc>
          <w:tcPr>
            <w:tcW w:type="dxa" w:w="368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안정성·유동성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해외채권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10%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±3%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분산효과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대체투자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15%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±5%</w:t>
            </w:r>
          </w:p>
        </w:tc>
        <w:tc>
          <w:tcPr>
            <w:tcW w:type="dxa" w:w="368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인프라·에너지·부동산·사모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유동성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5%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±2%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집행 안정성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지역전략투자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5%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±2%</w:t>
            </w:r>
          </w:p>
        </w:tc>
        <w:tc>
          <w:tcPr>
            <w:tcW w:type="dxa" w:w="368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전남광주 미래산업 연계</w:t>
            </w:r>
          </w:p>
        </w:tc>
      </w:tr>
    </w:tbl>
    <w:p>
      <w:pPr>
        <w:spacing w:after="120" w:before="80"/>
      </w:pPr>
      <w:r>
        <w:rPr>
          <w:rFonts w:ascii="맑은 고딕" w:hAnsi="맑은 고딕" w:eastAsia="맑은 고딕"/>
          <w:b w:val="0"/>
          <w:i w:val="0"/>
          <w:color w:val="606060"/>
          <w:sz w:val="19"/>
        </w:rPr>
        <w:t>환헤지: 해외주식 부분헤지(0~50%) | 해외채권 완전헤지 원칙</w:t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7. OCIO 위탁운용 구조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OCIO(Outsourced Chief Investment Officer): 자산배분·위험관리·성과평가·운용사 선정을 외부 전문기관에 위탁하는 구조</w:t>
      </w:r>
    </w:p>
    <w:p>
      <w:pPr>
        <w:spacing w:after="120" w:before="120"/>
      </w:pPr>
      <w:r>
        <w:rPr>
          <w:rFonts w:ascii="맑은 고딕" w:hAnsi="맑은 고딕" w:eastAsia="맑은 고딕"/>
          <w:b/>
          <w:i w:val="0"/>
          <w:color w:val="1A237E"/>
          <w:sz w:val="22"/>
        </w:rPr>
        <w:t>선정 절차</w:t>
      </w:r>
    </w:p>
    <w:p>
      <w:pPr>
        <w:spacing w:after="120" w:before="0"/>
      </w:pPr>
      <w:r>
        <w:rPr>
          <w:rFonts w:ascii="맑은 고딕" w:hAnsi="맑은 고딕" w:eastAsia="맑은 고딕"/>
          <w:b/>
          <w:i w:val="0"/>
          <w:color w:val="1565C0"/>
          <w:sz w:val="21"/>
        </w:rPr>
        <w:t>RFI(시장검증) → RFP(제안요청) → 외부전문가 평가위원회 → 위원회 의결 → 복수기관 분산위탁</w:t>
      </w:r>
    </w:p>
    <w:p>
      <w:pPr>
        <w:spacing w:after="120" w:before="120"/>
      </w:pPr>
      <w:r>
        <w:rPr>
          <w:rFonts w:ascii="맑은 고딕" w:hAnsi="맑은 고딕" w:eastAsia="맑은 고딕"/>
          <w:b/>
          <w:i w:val="0"/>
          <w:color w:val="1A237E"/>
          <w:sz w:val="22"/>
        </w:rPr>
        <w:t>RFI 대상 후보군 (모두 동등한 공개경쟁 — 사전 내정 없음)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미래에셋자산운용 · 삼성자산운용 · KB자산운용 · 한국투자신탁운용 · NH투자증권 · 한화자산운용</w:t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8. 지역전략투자 분야 (기금 5% 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분야</w:t>
            </w:r>
          </w:p>
        </w:tc>
        <w:tc>
          <w:tcPr>
            <w:tcW w:type="dxa" w:w="708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투자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AI</w:t>
            </w:r>
          </w:p>
        </w:tc>
        <w:tc>
          <w:tcPr>
            <w:tcW w:type="dxa" w:w="70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집적단지 고도화·공공 AI 실증·AI반도체·인재양성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에너지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해상풍력·그린수소·RE100·ESS·스마트그리드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반도체</w:t>
            </w:r>
          </w:p>
        </w:tc>
        <w:tc>
          <w:tcPr>
            <w:tcW w:type="dxa" w:w="70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전력반도체·패키징·소부장·테스트베드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농수축산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스마트팜·스마트축산·유통플랫폼·수산 고부가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바이오·헬스</w:t>
            </w:r>
          </w:p>
        </w:tc>
        <w:tc>
          <w:tcPr>
            <w:tcW w:type="dxa" w:w="70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고령친화·식품바이오·헬스케어데이터·바이오소재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모빌리티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자율주행·정밀지도·드론물류·공간정보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청년·대학</w:t>
            </w:r>
          </w:p>
        </w:tc>
        <w:tc>
          <w:tcPr>
            <w:tcW w:type="dxa" w:w="708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연구펀드·인재정착·창업펀드·산학연</w:t>
            </w:r>
          </w:p>
        </w:tc>
      </w:tr>
    </w:tbl>
    <w:p>
      <w:pPr>
        <w:spacing w:after="120" w:before="80"/>
      </w:pPr>
      <w:r>
        <w:rPr>
          <w:rFonts w:ascii="맑은 고딕" w:hAnsi="맑은 고딕" w:eastAsia="맑은 고딕"/>
          <w:b w:val="0"/>
          <w:i w:val="0"/>
          <w:color w:val="606060"/>
          <w:sz w:val="19"/>
        </w:rPr>
        <w:t>투자 방식 우선순위: 펀드출자(LP) &gt; 공동투자 &gt; 직접투자(원칙 제한)</w:t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9. 법률·제도 선결 과제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EBEE"/>
          </w:tcPr>
          <w:p>
            <w:r>
              <w:rPr>
                <w:rFonts w:ascii="맑은 고딕" w:hAnsi="맑은 고딕" w:eastAsia="맑은 고딕"/>
                <w:b/>
                <w:color w:val="C62828"/>
                <w:sz w:val="22"/>
              </w:rPr>
              <w:t>⚠ 최대 리스크: 교부조건 확정 후에는 기금화가 보조금법상 '용도 외 사용'으로 불가능해질 수 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필수 조치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쟁점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특별법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기금 설치 + 지원금 출연 근거</w:t>
            </w:r>
          </w:p>
        </w:tc>
        <w:tc>
          <w:tcPr>
            <w:tcW w:type="dxa" w:w="3402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일반법 특례 부여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시행령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운용·위탁·지출·감독 기준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위임 범위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조례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목적·재원·위원회·공시·감사</w:t>
            </w:r>
          </w:p>
        </w:tc>
        <w:tc>
          <w:tcPr>
            <w:tcW w:type="dxa" w:w="3402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재정민주주의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교부조건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기금 출연 가능성 명시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용도 외 사용 회피의 핵심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투자정책서</w:t>
            </w:r>
          </w:p>
        </w:tc>
        <w:tc>
          <w:tcPr>
            <w:tcW w:type="dxa" w:w="396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자산배분·위험한도·지출률</w:t>
            </w:r>
          </w:p>
        </w:tc>
        <w:tc>
          <w:tcPr>
            <w:tcW w:type="dxa" w:w="3402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위원회 의결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10. 기금 거버넌스 (정치 개입 차단)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위원회</w:t>
            </w:r>
          </w:p>
        </w:tc>
        <w:tc>
          <w:tcPr>
            <w:tcW w:type="dxa" w:w="6236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미래전환기금운용위원회</w:t>
            </w:r>
          </w:p>
        </w:tc>
        <w:tc>
          <w:tcPr>
            <w:tcW w:type="dxa" w:w="6236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최고 의결 (공무원 의결권 배제)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투자정책위원회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자산배분·목표수익률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위험관리위원회</w:t>
            </w:r>
          </w:p>
        </w:tc>
        <w:tc>
          <w:tcPr>
            <w:tcW w:type="dxa" w:w="6236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VaR·손실한도·유동성·환위험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지역전략사업위원회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수익금 사용 심사</w:t>
            </w:r>
          </w:p>
        </w:tc>
      </w:tr>
      <w:tr>
        <w:tc>
          <w:tcPr>
            <w:tcW w:type="dxa" w:w="2835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시민감시위원회</w:t>
            </w:r>
          </w:p>
        </w:tc>
        <w:tc>
          <w:tcPr>
            <w:tcW w:type="dxa" w:w="6236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투명성·이해충돌·정치개입 감시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외부감사인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회계·운용 적정성</w:t>
            </w:r>
          </w:p>
        </w:tc>
      </w:tr>
    </w:tbl>
    <w:p>
      <w:pPr>
        <w:spacing w:after="120" w:before="80"/>
      </w:pPr>
      <w:r>
        <w:rPr>
          <w:rFonts w:ascii="맑은 고딕" w:hAnsi="맑은 고딕" w:eastAsia="맑은 고딕"/>
          <w:b w:val="0"/>
          <w:i w:val="0"/>
          <w:color w:val="606060"/>
          <w:sz w:val="19"/>
        </w:rPr>
        <w:t>10대 차단장치: 투자정책서 사전공시 · 자산군 허용범위 · 특정기업 직접투자 제한 · 지역투자 별도심사 · 위원·회의록 공개 · 외부감사 의무 · 의회보고 의무 · 이해충돌 신고 · 운용기관 공개경쟁 · 성과 공개</w:t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11. 해외 성공사례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사례</w:t>
            </w:r>
          </w:p>
        </w:tc>
        <w:tc>
          <w:tcPr>
            <w:tcW w:type="dxa" w:w="181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규모(2025 추정)</w:t>
            </w:r>
          </w:p>
        </w:tc>
        <w:tc>
          <w:tcPr>
            <w:tcW w:type="dxa" w:w="141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원금보호</w:t>
            </w:r>
          </w:p>
        </w:tc>
        <w:tc>
          <w:tcPr>
            <w:tcW w:type="dxa" w:w="141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지출준칙</w:t>
            </w:r>
          </w:p>
        </w:tc>
        <w:tc>
          <w:tcPr>
            <w:tcW w:type="dxa" w:w="243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시사점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노르웨이 GPFG</w:t>
            </w:r>
          </w:p>
        </w:tc>
        <w:tc>
          <w:tcPr>
            <w:tcW w:type="dxa" w:w="181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약 1.9조 달러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법적 보호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실질 3% 룰</w:t>
            </w:r>
          </w:p>
        </w:tc>
        <w:tc>
          <w:tcPr>
            <w:tcW w:type="dxa" w:w="243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지출준칙·글로벌분산·공시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알래스카 영구기금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약 760억 달러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헌법 명시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수익 한도</w:t>
            </w:r>
          </w:p>
        </w:tc>
        <w:tc>
          <w:tcPr>
            <w:tcW w:type="dxa" w:w="243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원금 헌법보호·주민배당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아일랜드 ISIF</w:t>
            </w:r>
          </w:p>
        </w:tc>
        <w:tc>
          <w:tcPr>
            <w:tcW w:type="dxa" w:w="181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약 130억 유로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부분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재무+경제</w:t>
            </w:r>
          </w:p>
        </w:tc>
        <w:tc>
          <w:tcPr>
            <w:tcW w:type="dxa" w:w="243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Double Bottom Line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싱가포르 테마섹</w:t>
            </w:r>
          </w:p>
        </w:tc>
        <w:tc>
          <w:tcPr>
            <w:tcW w:type="dxa" w:w="181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약 3,820억 SGD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이사회 자율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수익중심</w:t>
            </w:r>
          </w:p>
        </w:tc>
        <w:tc>
          <w:tcPr>
            <w:tcW w:type="dxa" w:w="243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전략산업+독립 거버넌스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12. 수익 시뮬레이션 (12조·연4%·재투자 30%)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시점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기금규모</w:t>
            </w:r>
          </w:p>
        </w:tc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연간수익(4%)</w:t>
            </w:r>
          </w:p>
        </w:tc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지출가용(60%)</w:t>
            </w:r>
          </w:p>
        </w:tc>
        <w:tc>
          <w:tcPr>
            <w:tcW w:type="dxa" w:w="198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재투자(30%)</w:t>
            </w:r>
          </w:p>
        </w:tc>
      </w:tr>
      <w:tr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1년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12.0조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4,800억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3,360억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1,440억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12.9조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5,160억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3,612억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1,548억</w:t>
            </w:r>
          </w:p>
        </w:tc>
      </w:tr>
      <w:tr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10년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14.1조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5,640억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3,948억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1,692억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20년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16.9조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6,760억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4,732억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2,028억</w:t>
            </w:r>
          </w:p>
        </w:tc>
      </w:tr>
      <w:tr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30년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20.2조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8,080억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5,656억</w:t>
            </w:r>
          </w:p>
        </w:tc>
        <w:tc>
          <w:tcPr>
            <w:tcW w:type="dxa" w:w="198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2,424억</w:t>
            </w:r>
          </w:p>
        </w:tc>
      </w:tr>
    </w:tbl>
    <w:p>
      <w:pPr>
        <w:spacing w:after="120" w:before="80"/>
      </w:pPr>
      <w:r>
        <w:rPr>
          <w:rFonts w:ascii="맑은 고딕" w:hAnsi="맑은 고딕" w:eastAsia="맑은 고딕"/>
          <w:b w:val="0"/>
          <w:i/>
          <w:color w:val="606060"/>
          <w:sz w:val="18"/>
        </w:rPr>
        <w:t>⚠ 단순 산술 참조값. 수수료·세금·환율·시장변동 미반영. 미래 수익 보장 아님.</w:t>
      </w: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13. 이해당사자별 설득 논리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7370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 메시지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민형배 시장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임기 성과(8조) + 임기 후 지속재원(12조)의 균형 = 100년 레거시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중앙정부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예산낭비 방지·지방재정 책임성·균형발전 표준모델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국회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원금보전·지출상한·외부감사·공시 = 가장 통제하기 쉬운 구조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지역주민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한 번 쓰는 20조 vs 매년 돌아오는 20조</w:t>
            </w:r>
          </w:p>
        </w:tc>
      </w:tr>
      <w:tr>
        <w:tc>
          <w:tcPr>
            <w:tcW w:type="dxa" w:w="1701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금융기관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국내 최초급 지방정부형 대규모 장기 OCIO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14. 예상 반론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반론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답변</w:t>
            </w:r>
          </w:p>
        </w:tc>
      </w:tr>
      <w:tr>
        <w:tc>
          <w:tcPr>
            <w:tcW w:type="dxa" w:w="311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당장 쓸 곳 많은데 왜 묶나?</w:t>
            </w:r>
          </w:p>
        </w:tc>
        <w:tc>
          <w:tcPr>
            <w:tcW w:type="dxa" w:w="5953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전액 아닌 12조만. 8조는 즉시 직접투자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손실 나면?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위탁·분산·한도·감사·지출상한 제도화. 전액 소비는 소멸 확정</w:t>
            </w:r>
          </w:p>
        </w:tc>
      </w:tr>
      <w:tr>
        <w:tc>
          <w:tcPr>
            <w:tcW w:type="dxa" w:w="311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국민연금 못 맡기면 불가능?</w:t>
            </w:r>
          </w:p>
        </w:tc>
        <w:tc>
          <w:tcPr>
            <w:tcW w:type="dxa" w:w="5953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원칙 벤치마크 + OCIO 공개경쟁으로 가능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미래에셋 특혜?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후보군 중 하나, 복수기관 공개경쟁</w:t>
            </w:r>
          </w:p>
        </w:tc>
      </w:tr>
      <w:tr>
        <w:tc>
          <w:tcPr>
            <w:tcW w:type="dxa" w:w="311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국고지원금 투자 불법?</w:t>
            </w:r>
          </w:p>
        </w:tc>
        <w:tc>
          <w:tcPr>
            <w:tcW w:type="dxa" w:w="5953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교부조건·특별법·조례에 근거 사전 명시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직접 쓰는 게 낫지 않나?</w:t>
            </w:r>
          </w:p>
        </w:tc>
        <w:tc>
          <w:tcPr>
            <w:tcW w:type="dxa" w:w="5953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8조 직접투자 병행. 기금은 지속성 확보</w:t>
            </w:r>
          </w:p>
        </w:tc>
      </w:tr>
      <w:tr>
        <w:tc>
          <w:tcPr>
            <w:tcW w:type="dxa" w:w="3118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시장 나빠지면?</w:t>
            </w:r>
          </w:p>
        </w:tc>
        <w:tc>
          <w:tcPr>
            <w:tcW w:type="dxa" w:w="5953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10년 장기평균·3~5년 평균 평가액 기준</w:t>
            </w:r>
          </w:p>
        </w:tc>
      </w:tr>
    </w:tbl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15. 추진 로드맵 (6개월)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417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5839"/>
            <w:shd w:val="clear" w:color="auto" w:fill="1A237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작업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① 개념 정립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~1개월</w:t>
            </w:r>
          </w:p>
        </w:tc>
        <w:tc>
          <w:tcPr>
            <w:tcW w:type="dxa" w:w="583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기본구상·시나리오·당선자 보고자료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② 법률·제도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1~2개월</w:t>
            </w:r>
          </w:p>
        </w:tc>
        <w:tc>
          <w:tcPr>
            <w:tcW w:type="dxa" w:w="583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특별법 검토·조례안·교부조건·외부법률자문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③ RFI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2~3개월</w:t>
            </w:r>
          </w:p>
        </w:tc>
        <w:tc>
          <w:tcPr>
            <w:tcW w:type="dxa" w:w="583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OCIO 후보군 시장검증</w:t>
            </w:r>
          </w:p>
        </w:tc>
      </w:tr>
      <w:tr>
        <w:tc>
          <w:tcPr>
            <w:tcW w:type="dxa" w:w="1814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④ 보고서 확정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3~4개월</w:t>
            </w:r>
          </w:p>
        </w:tc>
        <w:tc>
          <w:tcPr>
            <w:tcW w:type="dxa" w:w="5839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본보고서·법률안·투자정책서 초안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⑤ 정치·입법</w:t>
            </w:r>
          </w:p>
        </w:tc>
        <w:tc>
          <w:tcPr>
            <w:tcW w:type="dxa" w:w="1417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4~6개월</w:t>
            </w:r>
          </w:p>
        </w:tc>
        <w:tc>
          <w:tcPr>
            <w:tcW w:type="dxa" w:w="5839"/>
            <w:shd w:val="clear" w:color="auto" w:fill="EEF3FB"/>
          </w:tcPr>
          <w:p>
            <w:r>
              <w:rPr>
                <w:rFonts w:ascii="맑은 고딕" w:hAnsi="맑은 고딕" w:eastAsia="맑은 고딕"/>
                <w:color w:val="212121"/>
                <w:sz w:val="19"/>
              </w:rPr>
              <w:t>캠프·중앙정부·국회·시민공론화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EBEE"/>
          </w:tcPr>
          <w:p>
            <w:r>
              <w:rPr>
                <w:rFonts w:ascii="맑은 고딕" w:hAnsi="맑은 고딕" w:eastAsia="맑은 고딕"/>
                <w:b/>
                <w:color w:val="C62828"/>
                <w:sz w:val="22"/>
              </w:rPr>
              <w:t>★ 골든타임: 특별법·교부조건 협상 단계가 기금화 성패를 가른다 — 출범(2026.07) 전후가 최적 시점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12" w:space="4" w:color="1565C0"/>
        </w:pBdr>
      </w:pPr>
      <w:r>
        <w:rPr>
          <w:rFonts w:ascii="맑은 고딕" w:hAnsi="맑은 고딕" w:eastAsia="맑은 고딕"/>
          <w:b/>
          <w:color w:val="1A237E"/>
          <w:sz w:val="30"/>
        </w:rPr>
        <w:t>■ 16. 결론 및 8대 정책 제언</w:t>
      </w:r>
    </w:p>
    <w:p>
      <w:pPr>
        <w:spacing w:after="120" w:before="0"/>
      </w:pPr>
      <w:r>
        <w:rPr>
          <w:rFonts w:ascii="맑은 고딕" w:hAnsi="맑은 고딕" w:eastAsia="맑은 고딕"/>
          <w:b/>
          <w:i w:val="0"/>
          <w:color w:val="1A237E"/>
          <w:sz w:val="22"/>
        </w:rPr>
        <w:t>전남광주는 20조 원을 소비하는 도시가 아니라, 자본화하여 대한민국 균형발전의 새 표준을 만드는 도시가 되어야 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① 원금은 원칙적으로 보전한다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② 운용수익 중심으로 지출한다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③ 국민연금식 자산배분 원칙을 벤치마크한다 (복제 아님)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④ 전문기관은 RFI·공개경쟁으로 검토한다 (특혜 차단)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⑤ 특별법·시행령·조례·교부조건에 법적 근거를 명시한다 (최우선)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⑥ 지역전략투자는 전체의 일부로 제한한다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⑦ AI·에너지·농수축산·바이오·모빌리티·청년·대학에 집중한다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⑧ 모든 성과·지출을 공개한다</w:t>
      </w:r>
    </w:p>
    <w:p/>
    <w:p>
      <w:pPr>
        <w:spacing w:after="120" w:before="160"/>
      </w:pPr>
      <w:r>
        <w:rPr>
          <w:rFonts w:ascii="맑은 고딕" w:hAnsi="맑은 고딕" w:eastAsia="맑은 고딕"/>
          <w:b/>
          <w:i w:val="0"/>
          <w:color w:val="1565C0"/>
          <w:sz w:val="24"/>
        </w:rPr>
        <w:t>지금 당장 필요한 결정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1. 특별법·교부조건 협상 시 '기금 출연 가능성' 명시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2. 법률자문 즉시 의뢰 (보조금법·지방기금법 검토)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3. 기금 규모 정치적 결정 (권장: 12조 기금 + 8조 직접투자)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4. OCIO 후보군 RFI 준비 (공개경쟁 원칙 천명)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color w:val="212121"/>
          <w:sz w:val="21"/>
        </w:rPr>
        <w:t>5. 기금운용위원회 구성 착수 (공무원 의결권 배제 설계)</w:t>
      </w:r>
    </w:p>
    <w:p/>
    <w:p>
      <w:pPr>
        <w:pBdr>
          <w:bottom w:val="single" w:sz="6" w:space="1" w:color="CCCCCC"/>
        </w:pBdr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/>
          <w:color w:val="606060"/>
          <w:sz w:val="18"/>
        </w:rPr>
        <w:t>※ 본 문서는 정책 검토 단계 초안이며, 법적 실행 전 전문 법률자문과 관계기관 협의가 반드시 필요합니다. 수익률 수치는 역사적 참조값으로 미래 수익을 보장하지 않습니다.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