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4B76B" w14:textId="500073F3" w:rsidR="00E061B9" w:rsidRDefault="00914B27" w:rsidP="00BE6CF0">
      <w:pPr>
        <w:rPr>
          <w:b/>
          <w:bCs/>
        </w:rPr>
      </w:pPr>
      <w:r>
        <w:rPr>
          <w:b/>
          <w:bCs/>
        </w:rPr>
        <w:t xml:space="preserve">Table 1: </w:t>
      </w:r>
      <w:r w:rsidR="00FD002A">
        <w:rPr>
          <w:b/>
          <w:bCs/>
        </w:rPr>
        <w:t>Balance Table</w:t>
      </w:r>
      <w:r w:rsidR="009C77EE">
        <w:rPr>
          <w:b/>
          <w:bCs/>
        </w:rPr>
        <w:t xml:space="preserve"> (Q2)</w:t>
      </w:r>
    </w:p>
    <w:p w14:paraId="03CF8ABA" w14:textId="4C09AFF3" w:rsidR="00FD002A" w:rsidRDefault="00FD002A" w:rsidP="00BE6CF0">
      <w:pPr>
        <w:rPr>
          <w:bCs/>
        </w:rPr>
      </w:pPr>
    </w:p>
    <w:tbl>
      <w:tblPr>
        <w:tblW w:w="0" w:type="auto"/>
        <w:tblInd w:w="-118" w:type="dxa"/>
        <w:tblBorders>
          <w:top w:val="nil"/>
          <w:left w:val="nil"/>
          <w:right w:val="nil"/>
        </w:tblBorders>
        <w:tblLayout w:type="fixed"/>
        <w:tblLook w:val="0000" w:firstRow="0" w:lastRow="0" w:firstColumn="0" w:lastColumn="0" w:noHBand="0" w:noVBand="0"/>
      </w:tblPr>
      <w:tblGrid>
        <w:gridCol w:w="2268"/>
        <w:gridCol w:w="2160"/>
        <w:gridCol w:w="2160"/>
        <w:gridCol w:w="2160"/>
      </w:tblGrid>
      <w:tr w:rsidR="00FD002A" w14:paraId="5368E67F" w14:textId="77777777">
        <w:tblPrEx>
          <w:tblCellMar>
            <w:top w:w="0" w:type="dxa"/>
            <w:bottom w:w="0" w:type="dxa"/>
          </w:tblCellMar>
        </w:tblPrEx>
        <w:tc>
          <w:tcPr>
            <w:tcW w:w="226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0E04947" w14:textId="77777777" w:rsidR="00FD002A" w:rsidRDefault="00FD002A">
            <w:pPr>
              <w:autoSpaceDE w:val="0"/>
              <w:autoSpaceDN w:val="0"/>
              <w:adjustRightInd w:val="0"/>
              <w:rPr>
                <w:rFonts w:ascii="Times New Roman" w:eastAsiaTheme="minorEastAsia" w:hAnsi="Times New Roman" w:cs="Times New Roman"/>
                <w:lang w:eastAsia="ko-KR"/>
              </w:rPr>
            </w:pP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767F5F9"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Control</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A540861"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Treatment</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4D2508C"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Difference</w:t>
            </w:r>
          </w:p>
        </w:tc>
      </w:tr>
      <w:tr w:rsidR="00FD002A" w14:paraId="39F1D25E" w14:textId="77777777">
        <w:tblPrEx>
          <w:tblBorders>
            <w:top w:val="none" w:sz="0" w:space="0" w:color="auto"/>
          </w:tblBorders>
          <w:tblCellMar>
            <w:top w:w="0" w:type="dxa"/>
            <w:bottom w:w="0" w:type="dxa"/>
          </w:tblCellMar>
        </w:tblPrEx>
        <w:tc>
          <w:tcPr>
            <w:tcW w:w="226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A5F7598" w14:textId="77777777" w:rsidR="00FD002A" w:rsidRDefault="00FD002A">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Academic Quality</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B2F31CB"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0.515</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C96100A"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0.466</w:t>
            </w:r>
          </w:p>
        </w:tc>
        <w:tc>
          <w:tcPr>
            <w:tcW w:w="216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3F21A90"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0.049</w:t>
            </w:r>
          </w:p>
        </w:tc>
      </w:tr>
      <w:tr w:rsidR="00FD002A" w14:paraId="5AE70653" w14:textId="77777777">
        <w:tblPrEx>
          <w:tblBorders>
            <w:top w:val="none" w:sz="0" w:space="0" w:color="auto"/>
          </w:tblBorders>
          <w:tblCellMar>
            <w:top w:w="0" w:type="dxa"/>
            <w:bottom w:w="0" w:type="dxa"/>
          </w:tblCellMar>
        </w:tblPrEx>
        <w:tc>
          <w:tcPr>
            <w:tcW w:w="226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2021A4" w14:textId="096C9899" w:rsidR="00FD002A" w:rsidRDefault="00FD002A">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Athl</w:t>
            </w:r>
            <w:r>
              <w:rPr>
                <w:rFonts w:ascii="Times New Roman" w:eastAsiaTheme="minorEastAsia" w:hAnsi="Times New Roman" w:cs="Times New Roman"/>
                <w:lang w:eastAsia="ko-KR"/>
              </w:rPr>
              <w:t>e</w:t>
            </w:r>
            <w:r>
              <w:rPr>
                <w:rFonts w:ascii="Times New Roman" w:eastAsiaTheme="minorEastAsia" w:hAnsi="Times New Roman" w:cs="Times New Roman"/>
                <w:lang w:eastAsia="ko-KR"/>
              </w:rPr>
              <w:t>tic Quality</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B73A9D"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0.424</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4506F0E"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0.551</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CC133A5"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-0.127**</w:t>
            </w:r>
          </w:p>
        </w:tc>
      </w:tr>
      <w:tr w:rsidR="00FD002A" w14:paraId="03DD46B5" w14:textId="77777777">
        <w:tblPrEx>
          <w:tblCellMar>
            <w:top w:w="0" w:type="dxa"/>
            <w:bottom w:w="0" w:type="dxa"/>
          </w:tblCellMar>
        </w:tblPrEx>
        <w:tc>
          <w:tcPr>
            <w:tcW w:w="226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BEA7FA2" w14:textId="77777777" w:rsidR="00FD002A" w:rsidRDefault="00FD002A">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Near Big Market</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E2F4FC2"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0.360</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8137A27"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0.700</w:t>
            </w:r>
          </w:p>
        </w:tc>
        <w:tc>
          <w:tcPr>
            <w:tcW w:w="21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E41F83E" w14:textId="77777777" w:rsidR="00FD002A" w:rsidRDefault="00FD002A">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-0.340***</w:t>
            </w:r>
          </w:p>
        </w:tc>
      </w:tr>
    </w:tbl>
    <w:p w14:paraId="2AAFE7D4" w14:textId="0071AFCF" w:rsidR="00FD002A" w:rsidRDefault="00FD002A" w:rsidP="00BE6CF0">
      <w:pPr>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 p&lt;0.1, ** p&lt;0.05, *** p&lt;0.01</w:t>
      </w:r>
    </w:p>
    <w:p w14:paraId="39D25819" w14:textId="77777777" w:rsidR="00FD002A" w:rsidRDefault="00FD002A" w:rsidP="00BE6CF0">
      <w:pPr>
        <w:rPr>
          <w:bCs/>
        </w:rPr>
      </w:pPr>
    </w:p>
    <w:p w14:paraId="14D73FB2" w14:textId="495343AE" w:rsidR="00FD002A" w:rsidRDefault="00FD002A" w:rsidP="00BE6CF0">
      <w:pPr>
        <w:rPr>
          <w:bCs/>
        </w:rPr>
      </w:pPr>
      <w:r w:rsidRPr="00FD002A">
        <w:rPr>
          <w:b/>
          <w:bCs/>
        </w:rPr>
        <w:t>Notes:</w:t>
      </w:r>
      <w:r>
        <w:rPr>
          <w:bCs/>
        </w:rPr>
        <w:t xml:space="preserve"> Here we see that between the control and treatment there are differences in the means, which means that those who were “ranked in 2017” were different in two of the covariates of interest. This ultimately means that the test fails for balance between the observables (or the covariates) as the two out of three covariates we would have liked to balance are significantly different.</w:t>
      </w:r>
    </w:p>
    <w:p w14:paraId="1A583AC3" w14:textId="615F4303" w:rsidR="009C77EE" w:rsidRDefault="009C77EE" w:rsidP="00BE6CF0">
      <w:pPr>
        <w:rPr>
          <w:bCs/>
        </w:rPr>
      </w:pPr>
    </w:p>
    <w:p w14:paraId="4B981BA6" w14:textId="11DAE2DC" w:rsidR="009C77EE" w:rsidRPr="007F5616" w:rsidRDefault="009C77EE" w:rsidP="00BE6CF0">
      <w:pPr>
        <w:rPr>
          <w:b/>
          <w:bCs/>
        </w:rPr>
      </w:pPr>
      <w:r w:rsidRPr="009C77EE">
        <w:rPr>
          <w:b/>
          <w:bCs/>
        </w:rPr>
        <w:t xml:space="preserve">Table 2: </w:t>
      </w:r>
      <w:r>
        <w:rPr>
          <w:b/>
          <w:bCs/>
        </w:rPr>
        <w:t>Effect of Covariates on “In-Ranking” of College in 2017 (Q4)</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9C77EE" w14:paraId="69CCF661"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20C7A35" w14:textId="77777777" w:rsidR="009C77EE" w:rsidRDefault="009C77EE">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03B8F649"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In Ranking in 2017</w:t>
            </w:r>
          </w:p>
        </w:tc>
      </w:tr>
      <w:tr w:rsidR="009C77EE" w14:paraId="2AB5EE4E"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714D95A" w14:textId="77777777" w:rsidR="009C77EE" w:rsidRDefault="009C77E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Academic Quality</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75E34408"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-.183</w:t>
            </w:r>
          </w:p>
        </w:tc>
      </w:tr>
      <w:tr w:rsidR="009C77EE" w14:paraId="3F411C81"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083E281" w14:textId="77777777" w:rsidR="009C77EE" w:rsidRDefault="009C77EE">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95433B"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(.161)</w:t>
            </w:r>
          </w:p>
        </w:tc>
      </w:tr>
      <w:tr w:rsidR="009C77EE" w14:paraId="635E159A"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FEF5442" w14:textId="5B1EC805" w:rsidR="009C77EE" w:rsidRDefault="009C77E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Athl</w:t>
            </w:r>
            <w:r>
              <w:rPr>
                <w:rFonts w:ascii="Times New Roman" w:eastAsiaTheme="minorEastAsia" w:hAnsi="Times New Roman" w:cs="Times New Roman"/>
                <w:lang w:eastAsia="ko-KR"/>
              </w:rPr>
              <w:t>e</w:t>
            </w:r>
            <w:r>
              <w:rPr>
                <w:rFonts w:ascii="Times New Roman" w:eastAsiaTheme="minorEastAsia" w:hAnsi="Times New Roman" w:cs="Times New Roman"/>
                <w:lang w:eastAsia="ko-KR"/>
              </w:rPr>
              <w:t>tic Quality</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B80482F"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.412**</w:t>
            </w:r>
          </w:p>
        </w:tc>
      </w:tr>
      <w:tr w:rsidR="009C77EE" w14:paraId="5C8CA3B1"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B6FAFAE" w14:textId="77777777" w:rsidR="009C77EE" w:rsidRDefault="009C77EE">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B36DEA"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(.163)</w:t>
            </w:r>
          </w:p>
        </w:tc>
      </w:tr>
      <w:tr w:rsidR="009C77EE" w14:paraId="3D797D04"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70968B" w14:textId="77777777" w:rsidR="009C77EE" w:rsidRDefault="009C77E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Near Big Market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C4C12C8"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.356***</w:t>
            </w:r>
          </w:p>
        </w:tc>
      </w:tr>
      <w:tr w:rsidR="009C77EE" w14:paraId="1022A3FA"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78BDCDC1" w14:textId="77777777" w:rsidR="009C77EE" w:rsidRDefault="009C77EE">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48B5402"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(.0927)</w:t>
            </w:r>
          </w:p>
        </w:tc>
      </w:tr>
      <w:tr w:rsidR="009C77EE" w14:paraId="7B634696"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BF959BB" w14:textId="77777777" w:rsidR="009C77EE" w:rsidRDefault="009C77E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7F41F58"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100</w:t>
            </w:r>
          </w:p>
        </w:tc>
      </w:tr>
      <w:tr w:rsidR="009C77EE" w14:paraId="440152AF"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A97DD9B" w14:textId="77777777" w:rsidR="009C77EE" w:rsidRDefault="009C77EE">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i/>
                <w:iCs/>
                <w:lang w:eastAsia="ko-KR"/>
              </w:rPr>
              <w:t>R</w:t>
            </w:r>
            <w:r>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F1D598E" w14:textId="77777777" w:rsidR="009C77EE" w:rsidRDefault="009C77EE">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0.182</w:t>
            </w:r>
          </w:p>
        </w:tc>
      </w:tr>
    </w:tbl>
    <w:p w14:paraId="01CDE2F6" w14:textId="77777777" w:rsidR="009C77EE" w:rsidRDefault="009C77EE" w:rsidP="009C77EE">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Standard errors in parentheses</w:t>
      </w:r>
    </w:p>
    <w:p w14:paraId="4BF749A3" w14:textId="7B7A0325" w:rsidR="009C77EE" w:rsidRDefault="009C77EE" w:rsidP="009C77EE">
      <w:pPr>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 p&lt;0.1, ** p&lt;0.05, *** p&lt;0.01</w:t>
      </w:r>
    </w:p>
    <w:p w14:paraId="12D7A08C" w14:textId="7536E94E" w:rsidR="009C77EE" w:rsidRDefault="009C77EE" w:rsidP="009C77EE">
      <w:pPr>
        <w:rPr>
          <w:bCs/>
        </w:rPr>
      </w:pPr>
    </w:p>
    <w:p w14:paraId="0760F531" w14:textId="3783EF8B" w:rsidR="009C77EE" w:rsidRDefault="009C77EE" w:rsidP="009C77EE">
      <w:pPr>
        <w:rPr>
          <w:bCs/>
        </w:rPr>
      </w:pPr>
      <w:r w:rsidRPr="00FD002A">
        <w:rPr>
          <w:b/>
          <w:bCs/>
        </w:rPr>
        <w:t>Notes:</w:t>
      </w:r>
      <w:r>
        <w:rPr>
          <w:bCs/>
        </w:rPr>
        <w:t xml:space="preserve"> Here we </w:t>
      </w:r>
      <w:r>
        <w:rPr>
          <w:bCs/>
        </w:rPr>
        <w:t>see that academic quality did not have a significant effect on whether a college would be “in-ranking” or not in 2017. However, the athletic quality of the college and whether it was close to a big market both had very significant effects on whether the college would be “in-ranking” in 2017.</w:t>
      </w:r>
    </w:p>
    <w:p w14:paraId="4DE7CA2E" w14:textId="01B7C721" w:rsidR="007F5616" w:rsidRDefault="007F5616" w:rsidP="009C77EE">
      <w:pPr>
        <w:rPr>
          <w:bCs/>
        </w:rPr>
      </w:pPr>
    </w:p>
    <w:p w14:paraId="025EE468" w14:textId="0B19083C" w:rsidR="007F5616" w:rsidRPr="007F5616" w:rsidRDefault="007F5616" w:rsidP="009C77EE">
      <w:pPr>
        <w:rPr>
          <w:bCs/>
        </w:rPr>
      </w:pPr>
      <w:r>
        <w:rPr>
          <w:bCs/>
          <w:noProof/>
        </w:rPr>
        <w:drawing>
          <wp:anchor distT="0" distB="0" distL="114300" distR="114300" simplePos="0" relativeHeight="251658240" behindDoc="1" locked="0" layoutInCell="1" allowOverlap="1" wp14:anchorId="314812F7" wp14:editId="3282ACE2">
            <wp:simplePos x="0" y="0"/>
            <wp:positionH relativeFrom="column">
              <wp:posOffset>1346400</wp:posOffset>
            </wp:positionH>
            <wp:positionV relativeFrom="paragraph">
              <wp:posOffset>182880</wp:posOffset>
            </wp:positionV>
            <wp:extent cx="3218400" cy="23398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lap Histogra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8400" cy="2339871"/>
                    </a:xfrm>
                    <a:prstGeom prst="rect">
                      <a:avLst/>
                    </a:prstGeom>
                  </pic:spPr>
                </pic:pic>
              </a:graphicData>
            </a:graphic>
            <wp14:sizeRelH relativeFrom="page">
              <wp14:pctWidth>0</wp14:pctWidth>
            </wp14:sizeRelH>
            <wp14:sizeRelV relativeFrom="page">
              <wp14:pctHeight>0</wp14:pctHeight>
            </wp14:sizeRelV>
          </wp:anchor>
        </w:drawing>
      </w:r>
      <w:r w:rsidRPr="007F5616">
        <w:rPr>
          <w:b/>
          <w:bCs/>
        </w:rPr>
        <w:t>Figure 1</w:t>
      </w:r>
      <w:r>
        <w:rPr>
          <w:b/>
          <w:bCs/>
        </w:rPr>
        <w:t>:</w:t>
      </w:r>
      <w:r>
        <w:rPr>
          <w:bCs/>
        </w:rPr>
        <w:t xml:space="preserve"> </w:t>
      </w:r>
      <w:r w:rsidRPr="007F5616">
        <w:rPr>
          <w:b/>
          <w:bCs/>
        </w:rPr>
        <w:t>Overlap Histogram for Propensity Score by Ranked/Non-Ranked</w:t>
      </w:r>
      <w:r>
        <w:rPr>
          <w:b/>
          <w:bCs/>
        </w:rPr>
        <w:t xml:space="preserve"> (Q5)</w:t>
      </w:r>
    </w:p>
    <w:p w14:paraId="6C4560B2" w14:textId="6FDF796D" w:rsidR="009C77EE" w:rsidRDefault="009C77EE" w:rsidP="009C77EE">
      <w:pPr>
        <w:rPr>
          <w:bCs/>
        </w:rPr>
      </w:pPr>
    </w:p>
    <w:p w14:paraId="56A15C5B" w14:textId="5A2F239B" w:rsidR="009C77EE" w:rsidRDefault="009C77EE" w:rsidP="009C77EE">
      <w:pPr>
        <w:rPr>
          <w:bCs/>
        </w:rPr>
      </w:pPr>
    </w:p>
    <w:p w14:paraId="5D75D26A" w14:textId="5CED0D83" w:rsidR="007F5616" w:rsidRDefault="007F5616" w:rsidP="009C77EE">
      <w:pPr>
        <w:rPr>
          <w:bCs/>
        </w:rPr>
      </w:pPr>
    </w:p>
    <w:p w14:paraId="0D2C491D" w14:textId="76FD8DF0" w:rsidR="007F5616" w:rsidRDefault="007F5616" w:rsidP="009C77EE">
      <w:pPr>
        <w:rPr>
          <w:bCs/>
        </w:rPr>
      </w:pPr>
    </w:p>
    <w:p w14:paraId="783B1710" w14:textId="0DF0A9CA" w:rsidR="007F5616" w:rsidRDefault="007F5616" w:rsidP="009C77EE">
      <w:pPr>
        <w:rPr>
          <w:bCs/>
        </w:rPr>
      </w:pPr>
    </w:p>
    <w:p w14:paraId="64AE704A" w14:textId="1316B2C8" w:rsidR="007F5616" w:rsidRDefault="007F5616" w:rsidP="009C77EE">
      <w:pPr>
        <w:rPr>
          <w:bCs/>
        </w:rPr>
      </w:pPr>
    </w:p>
    <w:p w14:paraId="68D56BB6" w14:textId="5E9202C7" w:rsidR="007F5616" w:rsidRDefault="007F5616" w:rsidP="009C77EE">
      <w:pPr>
        <w:rPr>
          <w:bCs/>
        </w:rPr>
      </w:pPr>
    </w:p>
    <w:p w14:paraId="22816815" w14:textId="5982B4A9" w:rsidR="007F5616" w:rsidRDefault="007F5616" w:rsidP="009C77EE">
      <w:pPr>
        <w:rPr>
          <w:bCs/>
        </w:rPr>
      </w:pPr>
    </w:p>
    <w:p w14:paraId="065998BB" w14:textId="3644EF89" w:rsidR="007F5616" w:rsidRDefault="007F5616" w:rsidP="009C77EE">
      <w:pPr>
        <w:rPr>
          <w:bCs/>
        </w:rPr>
      </w:pPr>
    </w:p>
    <w:p w14:paraId="0DA63E0E" w14:textId="3DA7460D" w:rsidR="007F5616" w:rsidRDefault="007F5616" w:rsidP="009C77EE">
      <w:pPr>
        <w:rPr>
          <w:bCs/>
        </w:rPr>
      </w:pPr>
    </w:p>
    <w:p w14:paraId="55372595" w14:textId="562772B3" w:rsidR="007F5616" w:rsidRDefault="007F5616" w:rsidP="009C77EE">
      <w:pPr>
        <w:rPr>
          <w:bCs/>
        </w:rPr>
      </w:pPr>
      <w:r w:rsidRPr="007F5616">
        <w:rPr>
          <w:b/>
          <w:bCs/>
        </w:rPr>
        <w:lastRenderedPageBreak/>
        <w:t>Notes</w:t>
      </w:r>
      <w:r>
        <w:rPr>
          <w:b/>
          <w:bCs/>
        </w:rPr>
        <w:t xml:space="preserve">: </w:t>
      </w:r>
      <w:r>
        <w:rPr>
          <w:bCs/>
        </w:rPr>
        <w:t>Based on the overlap histogram it would be wise to take out propensity scores between 0 to 0.3 and between 0.8 to 1 as the overlap is very low in these regions. Otherwise, there seems to be a good amount of overlap to be able to keep.</w:t>
      </w:r>
    </w:p>
    <w:p w14:paraId="42682A6C" w14:textId="31305291" w:rsidR="007F5616" w:rsidRDefault="007F5616" w:rsidP="009C77EE">
      <w:pPr>
        <w:rPr>
          <w:bCs/>
        </w:rPr>
      </w:pPr>
    </w:p>
    <w:p w14:paraId="54FC4CB3" w14:textId="23626671" w:rsidR="007F5616" w:rsidRDefault="007F5616" w:rsidP="009C77EE">
      <w:pPr>
        <w:rPr>
          <w:b/>
          <w:bCs/>
        </w:rPr>
      </w:pPr>
      <w:r w:rsidRPr="007F5616">
        <w:rPr>
          <w:b/>
          <w:bCs/>
        </w:rPr>
        <w:t>Table 3: Regression with Controlled Variables</w:t>
      </w:r>
      <w:r>
        <w:rPr>
          <w:b/>
          <w:bCs/>
        </w:rPr>
        <w:t xml:space="preserve"> (Q7)</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BF139C" w14:paraId="7A16CE00" w14:textId="77777777">
        <w:tblPrEx>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3A6D6E98" w14:textId="77777777" w:rsidR="00BF139C" w:rsidRDefault="00BF139C">
            <w:pPr>
              <w:autoSpaceDE w:val="0"/>
              <w:autoSpaceDN w:val="0"/>
              <w:adjustRightInd w:val="0"/>
              <w:rPr>
                <w:rFonts w:ascii="Times New Roman" w:eastAsiaTheme="minorEastAsia" w:hAnsi="Times New Roman" w:cs="Times New Roman"/>
                <w:lang w:eastAsia="ko-KR"/>
              </w:rPr>
            </w:pP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1338836E"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Alumni Donations in 2018</w:t>
            </w:r>
          </w:p>
        </w:tc>
      </w:tr>
      <w:tr w:rsidR="00BF139C" w14:paraId="1F152024"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7E9DB4C"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In Ranking in 2017</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418ED1D8"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501***</w:t>
            </w:r>
          </w:p>
        </w:tc>
      </w:tr>
      <w:tr w:rsidR="00BF139C" w14:paraId="07481028"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7EC24C" w14:textId="77777777" w:rsidR="00BF139C" w:rsidRDefault="00BF139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F0A073"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(.266)</w:t>
            </w:r>
          </w:p>
        </w:tc>
      </w:tr>
      <w:tr w:rsidR="00BF139C" w14:paraId="10192EBE"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A080BC"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Academic Quality</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779198"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105***</w:t>
            </w:r>
          </w:p>
        </w:tc>
      </w:tr>
      <w:tr w:rsidR="00BF139C" w14:paraId="13698524"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122DD2E" w14:textId="77777777" w:rsidR="00BF139C" w:rsidRDefault="00BF139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18C035B"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(2.36)</w:t>
            </w:r>
          </w:p>
        </w:tc>
      </w:tr>
      <w:tr w:rsidR="00BF139C" w14:paraId="57A11725"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22569B4"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Athletic Quality</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54FE01"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40.4***</w:t>
            </w:r>
          </w:p>
        </w:tc>
      </w:tr>
      <w:tr w:rsidR="00BF139C" w14:paraId="42FB6273"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01DBC8" w14:textId="77777777" w:rsidR="00BF139C" w:rsidRDefault="00BF139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595AC1"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(5.18)</w:t>
            </w:r>
          </w:p>
        </w:tc>
      </w:tr>
      <w:tr w:rsidR="00BF139C" w14:paraId="365B492C"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CA26E"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Near Big Market</w:t>
            </w:r>
          </w:p>
        </w:tc>
        <w:tc>
          <w:tcPr>
            <w:tcW w:w="432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F028D5"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992***</w:t>
            </w:r>
          </w:p>
        </w:tc>
      </w:tr>
      <w:tr w:rsidR="00BF139C" w14:paraId="4D5892BE" w14:textId="77777777">
        <w:tblPrEx>
          <w:tblBorders>
            <w:top w:val="none" w:sz="0" w:space="0" w:color="auto"/>
          </w:tblBorders>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712F5FF" w14:textId="77777777" w:rsidR="00BF139C" w:rsidRDefault="00BF139C">
            <w:pPr>
              <w:autoSpaceDE w:val="0"/>
              <w:autoSpaceDN w:val="0"/>
              <w:adjustRightInd w:val="0"/>
              <w:rPr>
                <w:rFonts w:ascii="Times New Roman" w:eastAsiaTheme="minorEastAsia" w:hAnsi="Times New Roman" w:cs="Times New Roman"/>
                <w:lang w:eastAsia="ko-KR"/>
              </w:rPr>
            </w:pP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5D742FBF"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(4.22)</w:t>
            </w:r>
          </w:p>
        </w:tc>
      </w:tr>
      <w:tr w:rsidR="00BF139C" w14:paraId="71328A5F" w14:textId="77777777">
        <w:tblPrEx>
          <w:tblBorders>
            <w:top w:val="none" w:sz="0" w:space="0" w:color="auto"/>
          </w:tblBorders>
          <w:tblCellMar>
            <w:top w:w="0" w:type="dxa"/>
            <w:bottom w:w="0" w:type="dxa"/>
          </w:tblCellMar>
        </w:tblPrEx>
        <w:tc>
          <w:tcPr>
            <w:tcW w:w="4428"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5A02737D"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lang w:eastAsia="ko-KR"/>
              </w:rPr>
              <w:t>Observations</w:t>
            </w:r>
          </w:p>
        </w:tc>
        <w:tc>
          <w:tcPr>
            <w:tcW w:w="4320" w:type="dxa"/>
            <w:tcBorders>
              <w:top w:val="single" w:sz="4" w:space="0" w:color="BFBFBF"/>
              <w:left w:val="single" w:sz="8" w:space="0" w:color="BFBFBF"/>
              <w:bottom w:val="single" w:sz="8" w:space="0" w:color="BFBFBF"/>
              <w:right w:val="single" w:sz="8" w:space="0" w:color="BFBFBF"/>
            </w:tcBorders>
            <w:tcMar>
              <w:top w:w="100" w:type="nil"/>
              <w:right w:w="100" w:type="nil"/>
            </w:tcMar>
            <w:vAlign w:val="center"/>
          </w:tcPr>
          <w:p w14:paraId="2B1574E7"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67</w:t>
            </w:r>
          </w:p>
        </w:tc>
      </w:tr>
      <w:tr w:rsidR="00BF139C" w14:paraId="119CE718" w14:textId="77777777">
        <w:tblPrEx>
          <w:tblCellMar>
            <w:top w:w="0" w:type="dxa"/>
            <w:bottom w:w="0" w:type="dxa"/>
          </w:tblCellMar>
        </w:tblPrEx>
        <w:tc>
          <w:tcPr>
            <w:tcW w:w="442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AF35127" w14:textId="77777777" w:rsidR="00BF139C" w:rsidRDefault="00BF139C">
            <w:pPr>
              <w:autoSpaceDE w:val="0"/>
              <w:autoSpaceDN w:val="0"/>
              <w:adjustRightInd w:val="0"/>
              <w:rPr>
                <w:rFonts w:ascii="Times New Roman" w:eastAsiaTheme="minorEastAsia" w:hAnsi="Times New Roman" w:cs="Times New Roman"/>
                <w:lang w:eastAsia="ko-KR"/>
              </w:rPr>
            </w:pPr>
            <w:r>
              <w:rPr>
                <w:rFonts w:ascii="Times New Roman" w:eastAsiaTheme="minorEastAsia" w:hAnsi="Times New Roman" w:cs="Times New Roman"/>
                <w:i/>
                <w:iCs/>
                <w:lang w:eastAsia="ko-KR"/>
              </w:rPr>
              <w:t>R</w:t>
            </w:r>
            <w:r>
              <w:rPr>
                <w:rFonts w:ascii="Times New Roman" w:eastAsiaTheme="minorEastAsia" w:hAnsi="Times New Roman" w:cs="Times New Roman"/>
                <w:vertAlign w:val="superscript"/>
                <w:lang w:eastAsia="ko-KR"/>
              </w:rPr>
              <w:t>2</w:t>
            </w:r>
          </w:p>
        </w:tc>
        <w:tc>
          <w:tcPr>
            <w:tcW w:w="432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37D1BB6" w14:textId="77777777" w:rsidR="00BF139C" w:rsidRDefault="00BF139C">
            <w:pPr>
              <w:autoSpaceDE w:val="0"/>
              <w:autoSpaceDN w:val="0"/>
              <w:adjustRightInd w:val="0"/>
              <w:jc w:val="center"/>
              <w:rPr>
                <w:rFonts w:ascii="Times New Roman" w:eastAsiaTheme="minorEastAsia" w:hAnsi="Times New Roman" w:cs="Times New Roman"/>
                <w:lang w:eastAsia="ko-KR"/>
              </w:rPr>
            </w:pPr>
            <w:r>
              <w:rPr>
                <w:rFonts w:ascii="Times New Roman" w:eastAsiaTheme="minorEastAsia" w:hAnsi="Times New Roman" w:cs="Times New Roman"/>
                <w:lang w:eastAsia="ko-KR"/>
              </w:rPr>
              <w:t>1.000</w:t>
            </w:r>
          </w:p>
        </w:tc>
      </w:tr>
    </w:tbl>
    <w:p w14:paraId="4B5A2C41" w14:textId="77777777" w:rsidR="00BF139C" w:rsidRDefault="00BF139C" w:rsidP="00BF139C">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Standard errors in parentheses</w:t>
      </w:r>
    </w:p>
    <w:p w14:paraId="5D609DB7" w14:textId="77777777" w:rsidR="00BF139C" w:rsidRDefault="00BF139C" w:rsidP="00BF139C">
      <w:pPr>
        <w:autoSpaceDE w:val="0"/>
        <w:autoSpaceDN w:val="0"/>
        <w:adjustRightInd w:val="0"/>
        <w:rPr>
          <w:rFonts w:ascii="Times New Roman" w:eastAsiaTheme="minorEastAsia" w:hAnsi="Times New Roman" w:cs="Times New Roman"/>
          <w:sz w:val="20"/>
          <w:szCs w:val="20"/>
          <w:lang w:eastAsia="ko-KR"/>
        </w:rPr>
      </w:pPr>
      <w:r>
        <w:rPr>
          <w:rFonts w:ascii="Times New Roman" w:eastAsiaTheme="minorEastAsia" w:hAnsi="Times New Roman" w:cs="Times New Roman"/>
          <w:sz w:val="20"/>
          <w:szCs w:val="20"/>
          <w:lang w:eastAsia="ko-KR"/>
        </w:rPr>
        <w:t>* p&lt;0.1, ** p&lt;0.05, *** p&lt;0.01</w:t>
      </w:r>
    </w:p>
    <w:p w14:paraId="36C6810E" w14:textId="77777777" w:rsidR="007F5616" w:rsidRDefault="007F5616" w:rsidP="007F5616">
      <w:pPr>
        <w:autoSpaceDE w:val="0"/>
        <w:autoSpaceDN w:val="0"/>
        <w:adjustRightInd w:val="0"/>
        <w:rPr>
          <w:rFonts w:ascii="Times New Roman" w:eastAsiaTheme="minorEastAsia" w:hAnsi="Times New Roman" w:cs="Times New Roman"/>
          <w:lang w:eastAsia="ko-KR"/>
        </w:rPr>
      </w:pPr>
      <w:bookmarkStart w:id="0" w:name="_GoBack"/>
      <w:bookmarkEnd w:id="0"/>
    </w:p>
    <w:p w14:paraId="41CACACB" w14:textId="66635411" w:rsidR="007F5616" w:rsidRDefault="007F5616" w:rsidP="009C77EE">
      <w:pPr>
        <w:rPr>
          <w:bCs/>
        </w:rPr>
      </w:pPr>
      <w:r w:rsidRPr="007F5616">
        <w:rPr>
          <w:b/>
          <w:bCs/>
        </w:rPr>
        <w:t>Notes</w:t>
      </w:r>
      <w:r>
        <w:rPr>
          <w:b/>
          <w:bCs/>
        </w:rPr>
        <w:t xml:space="preserve">: </w:t>
      </w:r>
      <w:r>
        <w:rPr>
          <w:bCs/>
        </w:rPr>
        <w:t xml:space="preserve">Here we have controlled </w:t>
      </w:r>
      <w:r w:rsidR="001F0572">
        <w:rPr>
          <w:bCs/>
        </w:rPr>
        <w:t>for the athletic and academic quality as well as its closeness to big cities. Also, we have controlled for fixed effect of the blocks (made by the propensity scores). Furthermore, based on the histogram in Figure 1, I have dropped any observation that was under the propensity score of 0.3 and above 0.8.</w:t>
      </w:r>
    </w:p>
    <w:p w14:paraId="70657BFD" w14:textId="00528722" w:rsidR="001F0572" w:rsidRDefault="001F0572" w:rsidP="009C77EE">
      <w:pPr>
        <w:rPr>
          <w:b/>
          <w:bCs/>
        </w:rPr>
      </w:pPr>
    </w:p>
    <w:p w14:paraId="7916DE51" w14:textId="5A77D032" w:rsidR="001F0572" w:rsidRPr="001F0572" w:rsidRDefault="001F0572" w:rsidP="009C77EE">
      <w:pPr>
        <w:rPr>
          <w:bCs/>
        </w:rPr>
      </w:pPr>
      <w:r>
        <w:rPr>
          <w:bCs/>
        </w:rPr>
        <w:t>After controlling for the fixed effects of all the covariates and blocks, we see that the ranking in 2017 is very significant and increases the alumni donation in 2018 by 501.</w:t>
      </w:r>
    </w:p>
    <w:sectPr w:rsidR="001F0572" w:rsidRPr="001F0572" w:rsidSect="0063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54847"/>
    <w:multiLevelType w:val="hybridMultilevel"/>
    <w:tmpl w:val="9DECD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CF0"/>
    <w:rsid w:val="00000448"/>
    <w:rsid w:val="0006621A"/>
    <w:rsid w:val="0008288A"/>
    <w:rsid w:val="00084F52"/>
    <w:rsid w:val="00090B0E"/>
    <w:rsid w:val="000B6E37"/>
    <w:rsid w:val="000E03C9"/>
    <w:rsid w:val="000E0C30"/>
    <w:rsid w:val="000F336B"/>
    <w:rsid w:val="001162BD"/>
    <w:rsid w:val="00116E7C"/>
    <w:rsid w:val="00160844"/>
    <w:rsid w:val="0016464F"/>
    <w:rsid w:val="001710F6"/>
    <w:rsid w:val="00176A1D"/>
    <w:rsid w:val="001B553E"/>
    <w:rsid w:val="001C65AE"/>
    <w:rsid w:val="001F0572"/>
    <w:rsid w:val="001F20E5"/>
    <w:rsid w:val="00211080"/>
    <w:rsid w:val="0024506D"/>
    <w:rsid w:val="0026115C"/>
    <w:rsid w:val="00266A3A"/>
    <w:rsid w:val="00282DE6"/>
    <w:rsid w:val="002A3889"/>
    <w:rsid w:val="002A5645"/>
    <w:rsid w:val="002D6AD5"/>
    <w:rsid w:val="002E7F70"/>
    <w:rsid w:val="003113ED"/>
    <w:rsid w:val="00313FFF"/>
    <w:rsid w:val="003444DD"/>
    <w:rsid w:val="00361F9C"/>
    <w:rsid w:val="00370EBF"/>
    <w:rsid w:val="00372830"/>
    <w:rsid w:val="00397DB1"/>
    <w:rsid w:val="003A353F"/>
    <w:rsid w:val="003A4A19"/>
    <w:rsid w:val="003A5ED0"/>
    <w:rsid w:val="003E527A"/>
    <w:rsid w:val="003E722E"/>
    <w:rsid w:val="003F7C83"/>
    <w:rsid w:val="00414DDE"/>
    <w:rsid w:val="0042563B"/>
    <w:rsid w:val="00436831"/>
    <w:rsid w:val="004373B3"/>
    <w:rsid w:val="00466868"/>
    <w:rsid w:val="004865D7"/>
    <w:rsid w:val="004872F9"/>
    <w:rsid w:val="004A6976"/>
    <w:rsid w:val="004B268A"/>
    <w:rsid w:val="004C4288"/>
    <w:rsid w:val="004D4BD2"/>
    <w:rsid w:val="004E0E80"/>
    <w:rsid w:val="00501F1C"/>
    <w:rsid w:val="005302FD"/>
    <w:rsid w:val="00543026"/>
    <w:rsid w:val="005A0BDC"/>
    <w:rsid w:val="005D09D4"/>
    <w:rsid w:val="00604F42"/>
    <w:rsid w:val="006305EC"/>
    <w:rsid w:val="00692C7C"/>
    <w:rsid w:val="006F1ACF"/>
    <w:rsid w:val="0070786F"/>
    <w:rsid w:val="00710778"/>
    <w:rsid w:val="00784DB2"/>
    <w:rsid w:val="007A5E0C"/>
    <w:rsid w:val="007C0007"/>
    <w:rsid w:val="007D4706"/>
    <w:rsid w:val="007F5616"/>
    <w:rsid w:val="00887913"/>
    <w:rsid w:val="008D1EF1"/>
    <w:rsid w:val="0091317A"/>
    <w:rsid w:val="00914B27"/>
    <w:rsid w:val="009512DB"/>
    <w:rsid w:val="009619E0"/>
    <w:rsid w:val="009777A7"/>
    <w:rsid w:val="009C28F3"/>
    <w:rsid w:val="009C6944"/>
    <w:rsid w:val="009C77EE"/>
    <w:rsid w:val="009E1725"/>
    <w:rsid w:val="00A02B72"/>
    <w:rsid w:val="00A1623D"/>
    <w:rsid w:val="00A2558F"/>
    <w:rsid w:val="00A34A25"/>
    <w:rsid w:val="00A61AA2"/>
    <w:rsid w:val="00A71228"/>
    <w:rsid w:val="00A83FEE"/>
    <w:rsid w:val="00AB7377"/>
    <w:rsid w:val="00AC5269"/>
    <w:rsid w:val="00AF5A7D"/>
    <w:rsid w:val="00B612D4"/>
    <w:rsid w:val="00B75506"/>
    <w:rsid w:val="00B77C32"/>
    <w:rsid w:val="00B86BB7"/>
    <w:rsid w:val="00BE6CF0"/>
    <w:rsid w:val="00BF139C"/>
    <w:rsid w:val="00C41889"/>
    <w:rsid w:val="00C422F0"/>
    <w:rsid w:val="00C83FA3"/>
    <w:rsid w:val="00C92A5D"/>
    <w:rsid w:val="00CA1CB5"/>
    <w:rsid w:val="00D11BD0"/>
    <w:rsid w:val="00D13E0C"/>
    <w:rsid w:val="00D305A0"/>
    <w:rsid w:val="00D70CD8"/>
    <w:rsid w:val="00D76D24"/>
    <w:rsid w:val="00D935C4"/>
    <w:rsid w:val="00DA6111"/>
    <w:rsid w:val="00DC34C8"/>
    <w:rsid w:val="00DD6718"/>
    <w:rsid w:val="00E04D12"/>
    <w:rsid w:val="00E061B9"/>
    <w:rsid w:val="00E27CD3"/>
    <w:rsid w:val="00E32021"/>
    <w:rsid w:val="00E36F44"/>
    <w:rsid w:val="00E84DC7"/>
    <w:rsid w:val="00E90D53"/>
    <w:rsid w:val="00E935FE"/>
    <w:rsid w:val="00ED1D42"/>
    <w:rsid w:val="00F10B52"/>
    <w:rsid w:val="00F367DB"/>
    <w:rsid w:val="00FB56A8"/>
    <w:rsid w:val="00FD002A"/>
    <w:rsid w:val="00FE74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B574"/>
  <w15:chartTrackingRefBased/>
  <w15:docId w15:val="{14D2C02F-C92A-1F4C-A0B9-2B0257C3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39C"/>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5">
    <w:name w:val="Plain Table 5"/>
    <w:basedOn w:val="TableNormal"/>
    <w:uiPriority w:val="45"/>
    <w:rsid w:val="00BE6CF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BE6CF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887913"/>
    <w:rPr>
      <w:color w:val="808080"/>
    </w:rPr>
  </w:style>
  <w:style w:type="paragraph" w:styleId="ListParagraph">
    <w:name w:val="List Paragraph"/>
    <w:basedOn w:val="Normal"/>
    <w:uiPriority w:val="34"/>
    <w:qFormat/>
    <w:rsid w:val="00E06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2020-02-20T01:34:00Z</dcterms:created>
  <dcterms:modified xsi:type="dcterms:W3CDTF">2020-03-01T18:27:00Z</dcterms:modified>
</cp:coreProperties>
</file>