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46DA" w14:textId="77777777" w:rsidR="006B5BDC" w:rsidRPr="006B5BDC" w:rsidRDefault="006B5BDC" w:rsidP="006B5BDC">
      <w:pPr>
        <w:rPr>
          <w:b/>
          <w:bCs/>
        </w:rPr>
      </w:pPr>
      <w:r w:rsidRPr="006B5BDC">
        <w:rPr>
          <w:b/>
          <w:bCs/>
        </w:rPr>
        <w:t>Communication Model Implementation in SAGIN Baseline</w:t>
      </w:r>
    </w:p>
    <w:p w14:paraId="625811FA" w14:textId="77777777" w:rsidR="006B5BDC" w:rsidRPr="006B5BDC" w:rsidRDefault="006B5BDC" w:rsidP="006B5BDC">
      <w:r w:rsidRPr="006B5BDC">
        <w:rPr>
          <w:b/>
          <w:bCs/>
        </w:rPr>
        <w:t xml:space="preserve">A single, general function </w:t>
      </w:r>
      <w:proofErr w:type="spellStart"/>
      <w:r w:rsidRPr="006B5BDC">
        <w:rPr>
          <w:b/>
          <w:bCs/>
        </w:rPr>
        <w:t>compute_rate_</w:t>
      </w:r>
      <w:proofErr w:type="gramStart"/>
      <w:r w:rsidRPr="006B5BDC">
        <w:rPr>
          <w:b/>
          <w:bCs/>
        </w:rPr>
        <w:t>general</w:t>
      </w:r>
      <w:proofErr w:type="spellEnd"/>
      <w:r w:rsidRPr="006B5BDC">
        <w:rPr>
          <w:b/>
          <w:bCs/>
        </w:rPr>
        <w:t>(</w:t>
      </w:r>
      <w:proofErr w:type="gramEnd"/>
      <w:r w:rsidRPr="006B5BDC">
        <w:rPr>
          <w:b/>
          <w:bCs/>
        </w:rPr>
        <w:t>) in communication_model.py is used to calculate wireless data rates between all network elements. Each communication scenario (IoT-to-UAV and UAV-to-Satellite) passes different, context-specific parameters to this function.</w:t>
      </w:r>
    </w:p>
    <w:p w14:paraId="67B69C87" w14:textId="02F8E2E1" w:rsidR="006B5BDC" w:rsidRPr="006B5BDC" w:rsidRDefault="006B5BDC" w:rsidP="006B5BDC"/>
    <w:p w14:paraId="639FD8C8" w14:textId="77777777" w:rsidR="006B5BDC" w:rsidRPr="006B5BDC" w:rsidRDefault="006B5BDC" w:rsidP="006B5BDC">
      <w:pPr>
        <w:rPr>
          <w:b/>
          <w:bCs/>
        </w:rPr>
      </w:pPr>
      <w:r w:rsidRPr="006B5BDC">
        <w:rPr>
          <w:b/>
          <w:bCs/>
        </w:rPr>
        <w:t>1. IoT to UAV Communication (TDMA)</w:t>
      </w:r>
    </w:p>
    <w:p w14:paraId="064C6686" w14:textId="77777777" w:rsidR="006B5BDC" w:rsidRPr="006B5BDC" w:rsidRDefault="006B5BDC" w:rsidP="006B5BDC">
      <w:pPr>
        <w:numPr>
          <w:ilvl w:val="0"/>
          <w:numId w:val="1"/>
        </w:numPr>
      </w:pPr>
      <w:r w:rsidRPr="006B5BDC">
        <w:rPr>
          <w:b/>
          <w:bCs/>
        </w:rPr>
        <w:t>Approach:</w:t>
      </w:r>
      <w:r w:rsidRPr="006B5BDC">
        <w:br/>
        <w:t>A Time Division Multiple Access (TDMA) scheme is used. Each UAV sequentially connects to individual IoT devices in its region; only one IoT device transmits to a UAV at any time. Once a transmission is completed, the next IoT device begins.</w:t>
      </w:r>
    </w:p>
    <w:p w14:paraId="3C05CB71" w14:textId="77777777" w:rsidR="006B5BDC" w:rsidRPr="006B5BDC" w:rsidRDefault="006B5BDC" w:rsidP="006B5BDC">
      <w:pPr>
        <w:numPr>
          <w:ilvl w:val="0"/>
          <w:numId w:val="1"/>
        </w:numPr>
      </w:pPr>
      <w:r w:rsidRPr="006B5BDC">
        <w:rPr>
          <w:b/>
          <w:bCs/>
        </w:rPr>
        <w:t>Rate Calculation:</w:t>
      </w:r>
      <w:r w:rsidRPr="006B5BDC">
        <w:br/>
        <w:t xml:space="preserve">The function </w:t>
      </w:r>
      <w:proofErr w:type="spellStart"/>
      <w:r w:rsidRPr="006B5BDC">
        <w:t>compute_iot_to_uav_</w:t>
      </w:r>
      <w:proofErr w:type="gramStart"/>
      <w:r w:rsidRPr="006B5BDC">
        <w:t>rate</w:t>
      </w:r>
      <w:proofErr w:type="spellEnd"/>
      <w:r w:rsidRPr="006B5BDC">
        <w:t>(</w:t>
      </w:r>
      <w:proofErr w:type="gramEnd"/>
      <w:r w:rsidRPr="006B5BDC">
        <w:t xml:space="preserve">) in iot_region.py wraps </w:t>
      </w:r>
      <w:proofErr w:type="spellStart"/>
      <w:r w:rsidRPr="006B5BDC">
        <w:t>compute_rate_general</w:t>
      </w:r>
      <w:proofErr w:type="spellEnd"/>
      <w:r w:rsidRPr="006B5BDC">
        <w:t>() with IoT-to-UAV-specific parameters:</w:t>
      </w:r>
    </w:p>
    <w:p w14:paraId="455A80B2" w14:textId="77777777" w:rsidR="006B5BDC" w:rsidRPr="006B5BDC" w:rsidRDefault="006B5BDC" w:rsidP="006B5BDC">
      <w:pPr>
        <w:numPr>
          <w:ilvl w:val="1"/>
          <w:numId w:val="1"/>
        </w:numPr>
      </w:pPr>
      <w:r w:rsidRPr="006B5BDC">
        <w:rPr>
          <w:b/>
          <w:bCs/>
        </w:rPr>
        <w:t>Bandwidth:</w:t>
      </w:r>
      <w:r w:rsidRPr="006B5BDC">
        <w:t xml:space="preserve"> 5 MHz</w:t>
      </w:r>
    </w:p>
    <w:p w14:paraId="3C0813EA" w14:textId="77777777" w:rsidR="006B5BDC" w:rsidRPr="006B5BDC" w:rsidRDefault="006B5BDC" w:rsidP="006B5BDC">
      <w:pPr>
        <w:numPr>
          <w:ilvl w:val="1"/>
          <w:numId w:val="1"/>
        </w:numPr>
      </w:pPr>
      <w:r w:rsidRPr="006B5BDC">
        <w:rPr>
          <w:b/>
          <w:bCs/>
        </w:rPr>
        <w:t>Transmit Power:</w:t>
      </w:r>
      <w:r w:rsidRPr="006B5BDC">
        <w:t xml:space="preserve"> 0.1 W (IoT device)</w:t>
      </w:r>
    </w:p>
    <w:p w14:paraId="1CF0DD63" w14:textId="77777777" w:rsidR="006B5BDC" w:rsidRPr="006B5BDC" w:rsidRDefault="006B5BDC" w:rsidP="006B5BDC">
      <w:pPr>
        <w:numPr>
          <w:ilvl w:val="1"/>
          <w:numId w:val="1"/>
        </w:numPr>
      </w:pPr>
      <w:r w:rsidRPr="006B5BDC">
        <w:rPr>
          <w:b/>
          <w:bCs/>
        </w:rPr>
        <w:t>Carrier Frequency:</w:t>
      </w:r>
      <w:r w:rsidRPr="006B5BDC">
        <w:t xml:space="preserve"> 2 GHz</w:t>
      </w:r>
    </w:p>
    <w:p w14:paraId="5F69EF96" w14:textId="77777777" w:rsidR="006B5BDC" w:rsidRPr="006B5BDC" w:rsidRDefault="006B5BDC" w:rsidP="006B5BDC">
      <w:pPr>
        <w:numPr>
          <w:ilvl w:val="1"/>
          <w:numId w:val="1"/>
        </w:numPr>
      </w:pPr>
      <w:r w:rsidRPr="006B5BDC">
        <w:rPr>
          <w:b/>
          <w:bCs/>
        </w:rPr>
        <w:t>Gains:</w:t>
      </w:r>
      <w:r w:rsidRPr="006B5BDC">
        <w:t xml:space="preserve"> 1 (IoT, isotropic), 10 (UAV, moderate)</w:t>
      </w:r>
    </w:p>
    <w:p w14:paraId="7E193869" w14:textId="77777777" w:rsidR="006B5BDC" w:rsidRPr="006B5BDC" w:rsidRDefault="006B5BDC" w:rsidP="006B5BDC">
      <w:pPr>
        <w:numPr>
          <w:ilvl w:val="1"/>
          <w:numId w:val="1"/>
        </w:numPr>
      </w:pPr>
      <w:r w:rsidRPr="006B5BDC">
        <w:rPr>
          <w:b/>
          <w:bCs/>
        </w:rPr>
        <w:t>Noise:</w:t>
      </w:r>
      <w:r w:rsidRPr="006B5BDC">
        <w:t xml:space="preserve"> 1e-9</w:t>
      </w:r>
    </w:p>
    <w:p w14:paraId="28961C11" w14:textId="77777777" w:rsidR="006B5BDC" w:rsidRDefault="006B5BDC" w:rsidP="006B5BDC">
      <w:pPr>
        <w:numPr>
          <w:ilvl w:val="1"/>
          <w:numId w:val="1"/>
        </w:numPr>
      </w:pPr>
      <w:r w:rsidRPr="006B5BDC">
        <w:rPr>
          <w:b/>
          <w:bCs/>
        </w:rPr>
        <w:t>Fading:</w:t>
      </w:r>
      <w:r w:rsidRPr="006B5BDC">
        <w:t xml:space="preserve"> Fixed at 1.0</w:t>
      </w:r>
    </w:p>
    <w:p w14:paraId="122B543E" w14:textId="7CB8BF96" w:rsidR="006B5BDC" w:rsidRDefault="006B5BDC" w:rsidP="006B5BDC">
      <w:r>
        <w:rPr>
          <w:b/>
          <w:bCs/>
        </w:rPr>
        <w:t>Call example:</w:t>
      </w:r>
      <w:r>
        <w:t xml:space="preserve"> </w:t>
      </w:r>
    </w:p>
    <w:p w14:paraId="29C783AC" w14:textId="77777777" w:rsidR="006B5BDC" w:rsidRPr="006B5BDC" w:rsidRDefault="006B5BDC" w:rsidP="006B5BDC">
      <w:pPr>
        <w:spacing w:after="0"/>
        <w:rPr>
          <w:color w:val="2E74B5" w:themeColor="accent1" w:themeShade="BF"/>
        </w:rPr>
      </w:pPr>
      <w:r w:rsidRPr="006B5BDC">
        <w:rPr>
          <w:color w:val="2E74B5" w:themeColor="accent1" w:themeShade="BF"/>
        </w:rPr>
        <w:t xml:space="preserve">return </w:t>
      </w:r>
      <w:proofErr w:type="spellStart"/>
      <w:r w:rsidRPr="006B5BDC">
        <w:rPr>
          <w:color w:val="2E74B5" w:themeColor="accent1" w:themeShade="BF"/>
        </w:rPr>
        <w:t>compute_rate_</w:t>
      </w:r>
      <w:proofErr w:type="gramStart"/>
      <w:r w:rsidRPr="006B5BDC">
        <w:rPr>
          <w:color w:val="2E74B5" w:themeColor="accent1" w:themeShade="BF"/>
        </w:rPr>
        <w:t>general</w:t>
      </w:r>
      <w:proofErr w:type="spellEnd"/>
      <w:r w:rsidRPr="006B5BDC">
        <w:rPr>
          <w:color w:val="2E74B5" w:themeColor="accent1" w:themeShade="BF"/>
        </w:rPr>
        <w:t>(</w:t>
      </w:r>
      <w:proofErr w:type="gramEnd"/>
    </w:p>
    <w:p w14:paraId="66132F74" w14:textId="77777777" w:rsidR="006B5BDC" w:rsidRPr="006B5BDC" w:rsidRDefault="006B5BDC" w:rsidP="006B5BDC">
      <w:pPr>
        <w:spacing w:after="0"/>
        <w:rPr>
          <w:color w:val="2E74B5" w:themeColor="accent1" w:themeShade="BF"/>
        </w:rPr>
      </w:pPr>
      <w:r w:rsidRPr="006B5BDC">
        <w:rPr>
          <w:color w:val="2E74B5" w:themeColor="accent1" w:themeShade="BF"/>
        </w:rPr>
        <w:t xml:space="preserve">    </w:t>
      </w:r>
      <w:proofErr w:type="spellStart"/>
      <w:r w:rsidRPr="006B5BDC">
        <w:rPr>
          <w:color w:val="2E74B5" w:themeColor="accent1" w:themeShade="BF"/>
        </w:rPr>
        <w:t>sender_pos</w:t>
      </w:r>
      <w:proofErr w:type="spellEnd"/>
      <w:r w:rsidRPr="006B5BDC">
        <w:rPr>
          <w:color w:val="2E74B5" w:themeColor="accent1" w:themeShade="BF"/>
        </w:rPr>
        <w:t>=</w:t>
      </w:r>
      <w:proofErr w:type="spellStart"/>
      <w:r w:rsidRPr="006B5BDC">
        <w:rPr>
          <w:color w:val="2E74B5" w:themeColor="accent1" w:themeShade="BF"/>
        </w:rPr>
        <w:t>iot_pos</w:t>
      </w:r>
      <w:proofErr w:type="spellEnd"/>
      <w:r w:rsidRPr="006B5BDC">
        <w:rPr>
          <w:color w:val="2E74B5" w:themeColor="accent1" w:themeShade="BF"/>
        </w:rPr>
        <w:t xml:space="preserve"> + (0,</w:t>
      </w:r>
      <w:proofErr w:type="gramStart"/>
      <w:r w:rsidRPr="006B5BDC">
        <w:rPr>
          <w:color w:val="2E74B5" w:themeColor="accent1" w:themeShade="BF"/>
        </w:rPr>
        <w:t>),  #</w:t>
      </w:r>
      <w:proofErr w:type="gramEnd"/>
      <w:r w:rsidRPr="006B5BDC">
        <w:rPr>
          <w:color w:val="2E74B5" w:themeColor="accent1" w:themeShade="BF"/>
        </w:rPr>
        <w:t xml:space="preserve"> IoT at ground level (z=0)</w:t>
      </w:r>
    </w:p>
    <w:p w14:paraId="09106A68" w14:textId="77777777" w:rsidR="006B5BDC" w:rsidRPr="006B5BDC" w:rsidRDefault="006B5BDC" w:rsidP="006B5BDC">
      <w:pPr>
        <w:spacing w:after="0"/>
        <w:rPr>
          <w:color w:val="2E74B5" w:themeColor="accent1" w:themeShade="BF"/>
        </w:rPr>
      </w:pPr>
      <w:r w:rsidRPr="006B5BDC">
        <w:rPr>
          <w:color w:val="2E74B5" w:themeColor="accent1" w:themeShade="BF"/>
        </w:rPr>
        <w:t xml:space="preserve">    </w:t>
      </w:r>
      <w:proofErr w:type="spellStart"/>
      <w:r w:rsidRPr="006B5BDC">
        <w:rPr>
          <w:color w:val="2E74B5" w:themeColor="accent1" w:themeShade="BF"/>
        </w:rPr>
        <w:t>receiver_pos</w:t>
      </w:r>
      <w:proofErr w:type="spellEnd"/>
      <w:r w:rsidRPr="006B5BDC">
        <w:rPr>
          <w:color w:val="2E74B5" w:themeColor="accent1" w:themeShade="BF"/>
        </w:rPr>
        <w:t>=</w:t>
      </w:r>
      <w:proofErr w:type="spellStart"/>
      <w:r w:rsidRPr="006B5BDC">
        <w:rPr>
          <w:color w:val="2E74B5" w:themeColor="accent1" w:themeShade="BF"/>
        </w:rPr>
        <w:t>uav_</w:t>
      </w:r>
      <w:proofErr w:type="gramStart"/>
      <w:r w:rsidRPr="006B5BDC">
        <w:rPr>
          <w:color w:val="2E74B5" w:themeColor="accent1" w:themeShade="BF"/>
        </w:rPr>
        <w:t>pos</w:t>
      </w:r>
      <w:proofErr w:type="spellEnd"/>
      <w:r w:rsidRPr="006B5BDC">
        <w:rPr>
          <w:color w:val="2E74B5" w:themeColor="accent1" w:themeShade="BF"/>
        </w:rPr>
        <w:t xml:space="preserve">,   </w:t>
      </w:r>
      <w:proofErr w:type="gramEnd"/>
      <w:r w:rsidRPr="006B5BDC">
        <w:rPr>
          <w:color w:val="2E74B5" w:themeColor="accent1" w:themeShade="BF"/>
        </w:rPr>
        <w:t xml:space="preserve">    # UAV 3D position</w:t>
      </w:r>
    </w:p>
    <w:p w14:paraId="55CED585" w14:textId="77777777" w:rsidR="006B5BDC" w:rsidRPr="006B5BDC" w:rsidRDefault="006B5BDC" w:rsidP="006B5BDC">
      <w:pPr>
        <w:spacing w:after="0"/>
        <w:rPr>
          <w:color w:val="2E74B5" w:themeColor="accent1" w:themeShade="BF"/>
        </w:rPr>
      </w:pPr>
      <w:r w:rsidRPr="006B5BDC">
        <w:rPr>
          <w:color w:val="2E74B5" w:themeColor="accent1" w:themeShade="BF"/>
        </w:rPr>
        <w:t xml:space="preserve">    bandwidth=5e6,</w:t>
      </w:r>
    </w:p>
    <w:p w14:paraId="7AE242ED" w14:textId="77777777" w:rsidR="006B5BDC" w:rsidRPr="006B5BDC" w:rsidRDefault="006B5BDC" w:rsidP="006B5BDC">
      <w:pPr>
        <w:spacing w:after="0"/>
        <w:rPr>
          <w:color w:val="2E74B5" w:themeColor="accent1" w:themeShade="BF"/>
        </w:rPr>
      </w:pPr>
      <w:r w:rsidRPr="006B5BDC">
        <w:rPr>
          <w:color w:val="2E74B5" w:themeColor="accent1" w:themeShade="BF"/>
        </w:rPr>
        <w:t xml:space="preserve">    </w:t>
      </w:r>
      <w:proofErr w:type="spellStart"/>
      <w:r w:rsidRPr="006B5BDC">
        <w:rPr>
          <w:color w:val="2E74B5" w:themeColor="accent1" w:themeShade="BF"/>
        </w:rPr>
        <w:t>P_tx</w:t>
      </w:r>
      <w:proofErr w:type="spellEnd"/>
      <w:r w:rsidRPr="006B5BDC">
        <w:rPr>
          <w:color w:val="2E74B5" w:themeColor="accent1" w:themeShade="BF"/>
        </w:rPr>
        <w:t>=0.1,</w:t>
      </w:r>
    </w:p>
    <w:p w14:paraId="552E88B7" w14:textId="77777777" w:rsidR="006B5BDC" w:rsidRPr="006B5BDC" w:rsidRDefault="006B5BDC" w:rsidP="006B5BDC">
      <w:pPr>
        <w:spacing w:after="0"/>
        <w:rPr>
          <w:color w:val="2E74B5" w:themeColor="accent1" w:themeShade="BF"/>
        </w:rPr>
      </w:pPr>
      <w:r w:rsidRPr="006B5BDC">
        <w:rPr>
          <w:color w:val="2E74B5" w:themeColor="accent1" w:themeShade="BF"/>
        </w:rPr>
        <w:t xml:space="preserve">    fc=2e9,</w:t>
      </w:r>
    </w:p>
    <w:p w14:paraId="753FAFD1" w14:textId="77777777" w:rsidR="006B5BDC" w:rsidRPr="006B5BDC" w:rsidRDefault="006B5BDC" w:rsidP="006B5BDC">
      <w:pPr>
        <w:spacing w:after="0"/>
        <w:rPr>
          <w:color w:val="2E74B5" w:themeColor="accent1" w:themeShade="BF"/>
        </w:rPr>
      </w:pPr>
      <w:r w:rsidRPr="006B5BDC">
        <w:rPr>
          <w:color w:val="2E74B5" w:themeColor="accent1" w:themeShade="BF"/>
        </w:rPr>
        <w:t xml:space="preserve">    </w:t>
      </w:r>
      <w:proofErr w:type="spellStart"/>
      <w:r w:rsidRPr="006B5BDC">
        <w:rPr>
          <w:color w:val="2E74B5" w:themeColor="accent1" w:themeShade="BF"/>
        </w:rPr>
        <w:t>G_tx</w:t>
      </w:r>
      <w:proofErr w:type="spellEnd"/>
      <w:r w:rsidRPr="006B5BDC">
        <w:rPr>
          <w:color w:val="2E74B5" w:themeColor="accent1" w:themeShade="BF"/>
        </w:rPr>
        <w:t>=1,</w:t>
      </w:r>
    </w:p>
    <w:p w14:paraId="2748CEE0" w14:textId="77777777" w:rsidR="006B5BDC" w:rsidRPr="006B5BDC" w:rsidRDefault="006B5BDC" w:rsidP="006B5BDC">
      <w:pPr>
        <w:spacing w:after="0"/>
        <w:rPr>
          <w:color w:val="2E74B5" w:themeColor="accent1" w:themeShade="BF"/>
        </w:rPr>
      </w:pPr>
      <w:r w:rsidRPr="006B5BDC">
        <w:rPr>
          <w:color w:val="2E74B5" w:themeColor="accent1" w:themeShade="BF"/>
        </w:rPr>
        <w:t xml:space="preserve">    </w:t>
      </w:r>
      <w:proofErr w:type="spellStart"/>
      <w:r w:rsidRPr="006B5BDC">
        <w:rPr>
          <w:color w:val="2E74B5" w:themeColor="accent1" w:themeShade="BF"/>
        </w:rPr>
        <w:t>G_rx</w:t>
      </w:r>
      <w:proofErr w:type="spellEnd"/>
      <w:r w:rsidRPr="006B5BDC">
        <w:rPr>
          <w:color w:val="2E74B5" w:themeColor="accent1" w:themeShade="BF"/>
        </w:rPr>
        <w:t>=10,</w:t>
      </w:r>
    </w:p>
    <w:p w14:paraId="2F353B39" w14:textId="77777777" w:rsidR="006B5BDC" w:rsidRPr="006B5BDC" w:rsidRDefault="006B5BDC" w:rsidP="006B5BDC">
      <w:pPr>
        <w:spacing w:after="0"/>
        <w:rPr>
          <w:color w:val="2E74B5" w:themeColor="accent1" w:themeShade="BF"/>
        </w:rPr>
      </w:pPr>
      <w:r w:rsidRPr="006B5BDC">
        <w:rPr>
          <w:color w:val="2E74B5" w:themeColor="accent1" w:themeShade="BF"/>
        </w:rPr>
        <w:t xml:space="preserve">    noise=1e-9,</w:t>
      </w:r>
    </w:p>
    <w:p w14:paraId="282DB700" w14:textId="77777777" w:rsidR="006B5BDC" w:rsidRPr="006B5BDC" w:rsidRDefault="006B5BDC" w:rsidP="006B5BDC">
      <w:pPr>
        <w:spacing w:after="0"/>
        <w:rPr>
          <w:color w:val="2E74B5" w:themeColor="accent1" w:themeShade="BF"/>
        </w:rPr>
      </w:pPr>
      <w:r w:rsidRPr="006B5BDC">
        <w:rPr>
          <w:color w:val="2E74B5" w:themeColor="accent1" w:themeShade="BF"/>
        </w:rPr>
        <w:t xml:space="preserve">    fading=1.0</w:t>
      </w:r>
    </w:p>
    <w:p w14:paraId="0DB66D4F" w14:textId="7CD244CD" w:rsidR="006B5BDC" w:rsidRPr="006B5BDC" w:rsidRDefault="006B5BDC" w:rsidP="006B5BDC">
      <w:pPr>
        <w:spacing w:after="0"/>
        <w:rPr>
          <w:color w:val="2E74B5" w:themeColor="accent1" w:themeShade="BF"/>
        </w:rPr>
      </w:pPr>
      <w:r w:rsidRPr="006B5BDC">
        <w:rPr>
          <w:color w:val="2E74B5" w:themeColor="accent1" w:themeShade="BF"/>
        </w:rPr>
        <w:t>)</w:t>
      </w:r>
    </w:p>
    <w:p w14:paraId="3CB6483E" w14:textId="77777777" w:rsidR="006B5BDC" w:rsidRPr="006B5BDC" w:rsidRDefault="006B5BDC" w:rsidP="006B5BDC"/>
    <w:p w14:paraId="6233F7DE" w14:textId="77777777" w:rsidR="006B5BDC" w:rsidRPr="006B5BDC" w:rsidRDefault="006B5BDC" w:rsidP="006B5BDC">
      <w:pPr>
        <w:rPr>
          <w:b/>
          <w:bCs/>
        </w:rPr>
      </w:pPr>
      <w:r w:rsidRPr="006B5BDC">
        <w:rPr>
          <w:b/>
          <w:bCs/>
        </w:rPr>
        <w:t>2. UAV to Satellite Communication (OFDMA, Ku-Band)</w:t>
      </w:r>
    </w:p>
    <w:p w14:paraId="7EB8E399" w14:textId="77777777" w:rsidR="006B5BDC" w:rsidRPr="006B5BDC" w:rsidRDefault="006B5BDC" w:rsidP="006B5BDC">
      <w:pPr>
        <w:numPr>
          <w:ilvl w:val="0"/>
          <w:numId w:val="2"/>
        </w:numPr>
      </w:pPr>
      <w:r w:rsidRPr="006B5BDC">
        <w:rPr>
          <w:b/>
          <w:bCs/>
        </w:rPr>
        <w:t>Approach:</w:t>
      </w:r>
      <w:r w:rsidRPr="006B5BDC">
        <w:br/>
        <w:t>Orthogonal Frequency Division Multiple Access (OFDMA) is used in the satellite uplink. The Ku band is divided into 9 subchannels (subcarriers); each subchannel is randomly assigned to UAVs at every time slot. UAVs that are assigned a slot communicate with satellites using their allocated frequency.</w:t>
      </w:r>
    </w:p>
    <w:p w14:paraId="160070A0" w14:textId="77777777" w:rsidR="006B5BDC" w:rsidRPr="006B5BDC" w:rsidRDefault="006B5BDC" w:rsidP="006B5BDC">
      <w:pPr>
        <w:numPr>
          <w:ilvl w:val="0"/>
          <w:numId w:val="2"/>
        </w:numPr>
      </w:pPr>
      <w:r w:rsidRPr="006B5BDC">
        <w:rPr>
          <w:b/>
          <w:bCs/>
        </w:rPr>
        <w:lastRenderedPageBreak/>
        <w:t>Rate Calculation:</w:t>
      </w:r>
      <w:r w:rsidRPr="006B5BDC">
        <w:br/>
        <w:t xml:space="preserve">In sagin_env.py, the same </w:t>
      </w:r>
      <w:proofErr w:type="spellStart"/>
      <w:r w:rsidRPr="006B5BDC">
        <w:t>compute_rate_</w:t>
      </w:r>
      <w:proofErr w:type="gramStart"/>
      <w:r w:rsidRPr="006B5BDC">
        <w:t>general</w:t>
      </w:r>
      <w:proofErr w:type="spellEnd"/>
      <w:r w:rsidRPr="006B5BDC">
        <w:t>(</w:t>
      </w:r>
      <w:proofErr w:type="gramEnd"/>
      <w:r w:rsidRPr="006B5BDC">
        <w:t>) function is called, but with parameters tailored for UAV-to-satellite links:</w:t>
      </w:r>
    </w:p>
    <w:p w14:paraId="29ED7056" w14:textId="77777777" w:rsidR="006B5BDC" w:rsidRPr="006B5BDC" w:rsidRDefault="006B5BDC" w:rsidP="006B5BDC">
      <w:pPr>
        <w:numPr>
          <w:ilvl w:val="1"/>
          <w:numId w:val="2"/>
        </w:numPr>
      </w:pPr>
      <w:r w:rsidRPr="006B5BDC">
        <w:rPr>
          <w:b/>
          <w:bCs/>
        </w:rPr>
        <w:t>Bandwidth:</w:t>
      </w:r>
      <w:r w:rsidRPr="006B5BDC">
        <w:t xml:space="preserve"> 1 MHz per slot (subchannel)</w:t>
      </w:r>
    </w:p>
    <w:p w14:paraId="14FB4E4A" w14:textId="77777777" w:rsidR="006B5BDC" w:rsidRPr="006B5BDC" w:rsidRDefault="006B5BDC" w:rsidP="006B5BDC">
      <w:pPr>
        <w:numPr>
          <w:ilvl w:val="1"/>
          <w:numId w:val="2"/>
        </w:numPr>
      </w:pPr>
      <w:r w:rsidRPr="006B5BDC">
        <w:rPr>
          <w:b/>
          <w:bCs/>
        </w:rPr>
        <w:t>Transmit Power:</w:t>
      </w:r>
      <w:r w:rsidRPr="006B5BDC">
        <w:t xml:space="preserve"> 10 W (UAV high-end)</w:t>
      </w:r>
    </w:p>
    <w:p w14:paraId="07F72575" w14:textId="77777777" w:rsidR="006B5BDC" w:rsidRPr="006B5BDC" w:rsidRDefault="006B5BDC" w:rsidP="006B5BDC">
      <w:pPr>
        <w:numPr>
          <w:ilvl w:val="1"/>
          <w:numId w:val="2"/>
        </w:numPr>
      </w:pPr>
      <w:r w:rsidRPr="006B5BDC">
        <w:rPr>
          <w:b/>
          <w:bCs/>
        </w:rPr>
        <w:t>Carrier Frequency:</w:t>
      </w:r>
      <w:r w:rsidRPr="006B5BDC">
        <w:t xml:space="preserve"> 12 GHz (Ku-band)</w:t>
      </w:r>
    </w:p>
    <w:p w14:paraId="2F64B24D" w14:textId="77777777" w:rsidR="006B5BDC" w:rsidRPr="006B5BDC" w:rsidRDefault="006B5BDC" w:rsidP="006B5BDC">
      <w:pPr>
        <w:numPr>
          <w:ilvl w:val="1"/>
          <w:numId w:val="2"/>
        </w:numPr>
      </w:pPr>
      <w:r w:rsidRPr="006B5BDC">
        <w:rPr>
          <w:b/>
          <w:bCs/>
        </w:rPr>
        <w:t>Gains:</w:t>
      </w:r>
      <w:r w:rsidRPr="006B5BDC">
        <w:t xml:space="preserve"> 10,000 (both UAV and satellite, representing 40 dB directional antennas)</w:t>
      </w:r>
    </w:p>
    <w:p w14:paraId="451901AC" w14:textId="77777777" w:rsidR="006B5BDC" w:rsidRPr="006B5BDC" w:rsidRDefault="006B5BDC" w:rsidP="006B5BDC">
      <w:pPr>
        <w:numPr>
          <w:ilvl w:val="1"/>
          <w:numId w:val="2"/>
        </w:numPr>
      </w:pPr>
      <w:r w:rsidRPr="006B5BDC">
        <w:rPr>
          <w:b/>
          <w:bCs/>
        </w:rPr>
        <w:t>Noise:</w:t>
      </w:r>
      <w:r w:rsidRPr="006B5BDC">
        <w:t xml:space="preserve"> 1e-13 (</w:t>
      </w:r>
      <w:proofErr w:type="spellStart"/>
      <w:r w:rsidRPr="006B5BDC">
        <w:t>ultra low</w:t>
      </w:r>
      <w:proofErr w:type="spellEnd"/>
      <w:r w:rsidRPr="006B5BDC">
        <w:t xml:space="preserve"> noise for satellite link)</w:t>
      </w:r>
    </w:p>
    <w:p w14:paraId="6B620B2F" w14:textId="77777777" w:rsidR="006B5BDC" w:rsidRPr="006B5BDC" w:rsidRDefault="006B5BDC" w:rsidP="006B5BDC">
      <w:pPr>
        <w:numPr>
          <w:ilvl w:val="1"/>
          <w:numId w:val="2"/>
        </w:numPr>
      </w:pPr>
      <w:r w:rsidRPr="006B5BDC">
        <w:rPr>
          <w:b/>
          <w:bCs/>
        </w:rPr>
        <w:t>Fading:</w:t>
      </w:r>
      <w:r w:rsidRPr="006B5BDC">
        <w:t xml:space="preserve"> Dynamic, time-varying (cycling through a list of fading states per slot)</w:t>
      </w:r>
    </w:p>
    <w:p w14:paraId="2B53F2E7" w14:textId="77777777" w:rsidR="006B5BDC" w:rsidRPr="006B5BDC" w:rsidRDefault="006B5BDC" w:rsidP="006B5BDC">
      <w:pPr>
        <w:numPr>
          <w:ilvl w:val="0"/>
          <w:numId w:val="2"/>
        </w:numPr>
      </w:pPr>
      <w:r w:rsidRPr="006B5BDC">
        <w:rPr>
          <w:b/>
          <w:bCs/>
        </w:rPr>
        <w:t>Call Example:</w:t>
      </w:r>
    </w:p>
    <w:p w14:paraId="4E9A3FE4" w14:textId="77777777" w:rsidR="006B5BDC" w:rsidRPr="006B5BDC" w:rsidRDefault="006B5BDC" w:rsidP="006B5BDC">
      <w:pPr>
        <w:spacing w:after="0"/>
        <w:ind w:left="360"/>
        <w:rPr>
          <w:color w:val="2E74B5" w:themeColor="accent1" w:themeShade="BF"/>
        </w:rPr>
      </w:pPr>
      <w:r w:rsidRPr="006B5BDC">
        <w:rPr>
          <w:color w:val="2E74B5" w:themeColor="accent1" w:themeShade="BF"/>
        </w:rPr>
        <w:t xml:space="preserve">rate, ok = </w:t>
      </w:r>
      <w:proofErr w:type="spellStart"/>
      <w:r w:rsidRPr="006B5BDC">
        <w:rPr>
          <w:color w:val="2E74B5" w:themeColor="accent1" w:themeShade="BF"/>
        </w:rPr>
        <w:t>compute_rate_</w:t>
      </w:r>
      <w:proofErr w:type="gramStart"/>
      <w:r w:rsidRPr="006B5BDC">
        <w:rPr>
          <w:color w:val="2E74B5" w:themeColor="accent1" w:themeShade="BF"/>
        </w:rPr>
        <w:t>general</w:t>
      </w:r>
      <w:proofErr w:type="spellEnd"/>
      <w:r w:rsidRPr="006B5BDC">
        <w:rPr>
          <w:color w:val="2E74B5" w:themeColor="accent1" w:themeShade="BF"/>
        </w:rPr>
        <w:t>(</w:t>
      </w:r>
      <w:proofErr w:type="gramEnd"/>
    </w:p>
    <w:p w14:paraId="0E91DB9B" w14:textId="77777777" w:rsidR="006B5BDC" w:rsidRPr="006B5BDC" w:rsidRDefault="006B5BDC" w:rsidP="006B5BDC">
      <w:pPr>
        <w:spacing w:after="0"/>
        <w:ind w:left="360"/>
        <w:rPr>
          <w:color w:val="2E74B5" w:themeColor="accent1" w:themeShade="BF"/>
        </w:rPr>
      </w:pPr>
      <w:r w:rsidRPr="006B5BDC">
        <w:rPr>
          <w:color w:val="2E74B5" w:themeColor="accent1" w:themeShade="BF"/>
        </w:rPr>
        <w:t xml:space="preserve">    </w:t>
      </w:r>
      <w:proofErr w:type="spellStart"/>
      <w:r w:rsidRPr="006B5BDC">
        <w:rPr>
          <w:color w:val="2E74B5" w:themeColor="accent1" w:themeShade="BF"/>
        </w:rPr>
        <w:t>sender_pos</w:t>
      </w:r>
      <w:proofErr w:type="spellEnd"/>
      <w:r w:rsidRPr="006B5BDC">
        <w:rPr>
          <w:color w:val="2E74B5" w:themeColor="accent1" w:themeShade="BF"/>
        </w:rPr>
        <w:t>=</w:t>
      </w:r>
      <w:proofErr w:type="spellStart"/>
      <w:r w:rsidRPr="006B5BDC">
        <w:rPr>
          <w:color w:val="2E74B5" w:themeColor="accent1" w:themeShade="BF"/>
        </w:rPr>
        <w:t>uav_</w:t>
      </w:r>
      <w:proofErr w:type="gramStart"/>
      <w:r w:rsidRPr="006B5BDC">
        <w:rPr>
          <w:color w:val="2E74B5" w:themeColor="accent1" w:themeShade="BF"/>
        </w:rPr>
        <w:t>pos</w:t>
      </w:r>
      <w:proofErr w:type="spellEnd"/>
      <w:r w:rsidRPr="006B5BDC">
        <w:rPr>
          <w:color w:val="2E74B5" w:themeColor="accent1" w:themeShade="BF"/>
        </w:rPr>
        <w:t xml:space="preserve">,   </w:t>
      </w:r>
      <w:proofErr w:type="gramEnd"/>
      <w:r w:rsidRPr="006B5BDC">
        <w:rPr>
          <w:color w:val="2E74B5" w:themeColor="accent1" w:themeShade="BF"/>
        </w:rPr>
        <w:t xml:space="preserve">     # UAV 3D position</w:t>
      </w:r>
    </w:p>
    <w:p w14:paraId="0CA2919E" w14:textId="77777777" w:rsidR="006B5BDC" w:rsidRPr="006B5BDC" w:rsidRDefault="006B5BDC" w:rsidP="006B5BDC">
      <w:pPr>
        <w:spacing w:after="0"/>
        <w:ind w:left="360"/>
        <w:rPr>
          <w:color w:val="2E74B5" w:themeColor="accent1" w:themeShade="BF"/>
        </w:rPr>
      </w:pPr>
      <w:r w:rsidRPr="006B5BDC">
        <w:rPr>
          <w:color w:val="2E74B5" w:themeColor="accent1" w:themeShade="BF"/>
        </w:rPr>
        <w:t xml:space="preserve">    </w:t>
      </w:r>
      <w:proofErr w:type="spellStart"/>
      <w:r w:rsidRPr="006B5BDC">
        <w:rPr>
          <w:color w:val="2E74B5" w:themeColor="accent1" w:themeShade="BF"/>
        </w:rPr>
        <w:t>receiver_pos</w:t>
      </w:r>
      <w:proofErr w:type="spellEnd"/>
      <w:r w:rsidRPr="006B5BDC">
        <w:rPr>
          <w:color w:val="2E74B5" w:themeColor="accent1" w:themeShade="BF"/>
        </w:rPr>
        <w:t>=</w:t>
      </w:r>
      <w:proofErr w:type="spellStart"/>
      <w:r w:rsidRPr="006B5BDC">
        <w:rPr>
          <w:color w:val="2E74B5" w:themeColor="accent1" w:themeShade="BF"/>
        </w:rPr>
        <w:t>sat_</w:t>
      </w:r>
      <w:proofErr w:type="gramStart"/>
      <w:r w:rsidRPr="006B5BDC">
        <w:rPr>
          <w:color w:val="2E74B5" w:themeColor="accent1" w:themeShade="BF"/>
        </w:rPr>
        <w:t>pos</w:t>
      </w:r>
      <w:proofErr w:type="spellEnd"/>
      <w:r w:rsidRPr="006B5BDC">
        <w:rPr>
          <w:color w:val="2E74B5" w:themeColor="accent1" w:themeShade="BF"/>
        </w:rPr>
        <w:t xml:space="preserve">,   </w:t>
      </w:r>
      <w:proofErr w:type="gramEnd"/>
      <w:r w:rsidRPr="006B5BDC">
        <w:rPr>
          <w:color w:val="2E74B5" w:themeColor="accent1" w:themeShade="BF"/>
        </w:rPr>
        <w:t xml:space="preserve">   # Satellite position</w:t>
      </w:r>
    </w:p>
    <w:p w14:paraId="53B918BD" w14:textId="77777777" w:rsidR="006B5BDC" w:rsidRPr="006B5BDC" w:rsidRDefault="006B5BDC" w:rsidP="006B5BDC">
      <w:pPr>
        <w:spacing w:after="0"/>
        <w:ind w:left="360"/>
        <w:rPr>
          <w:color w:val="2E74B5" w:themeColor="accent1" w:themeShade="BF"/>
        </w:rPr>
      </w:pPr>
      <w:r w:rsidRPr="006B5BDC">
        <w:rPr>
          <w:color w:val="2E74B5" w:themeColor="accent1" w:themeShade="BF"/>
        </w:rPr>
        <w:t xml:space="preserve">    bandwidth=1e6,</w:t>
      </w:r>
    </w:p>
    <w:p w14:paraId="7EF6E94B" w14:textId="77777777" w:rsidR="006B5BDC" w:rsidRPr="006B5BDC" w:rsidRDefault="006B5BDC" w:rsidP="006B5BDC">
      <w:pPr>
        <w:spacing w:after="0"/>
        <w:ind w:left="360"/>
        <w:rPr>
          <w:color w:val="2E74B5" w:themeColor="accent1" w:themeShade="BF"/>
        </w:rPr>
      </w:pPr>
      <w:r w:rsidRPr="006B5BDC">
        <w:rPr>
          <w:color w:val="2E74B5" w:themeColor="accent1" w:themeShade="BF"/>
        </w:rPr>
        <w:t xml:space="preserve">    </w:t>
      </w:r>
      <w:proofErr w:type="spellStart"/>
      <w:r w:rsidRPr="006B5BDC">
        <w:rPr>
          <w:color w:val="2E74B5" w:themeColor="accent1" w:themeShade="BF"/>
        </w:rPr>
        <w:t>P_tx</w:t>
      </w:r>
      <w:proofErr w:type="spellEnd"/>
      <w:r w:rsidRPr="006B5BDC">
        <w:rPr>
          <w:color w:val="2E74B5" w:themeColor="accent1" w:themeShade="BF"/>
        </w:rPr>
        <w:t>=10.0,</w:t>
      </w:r>
    </w:p>
    <w:p w14:paraId="6160CBE5" w14:textId="77777777" w:rsidR="006B5BDC" w:rsidRPr="006B5BDC" w:rsidRDefault="006B5BDC" w:rsidP="006B5BDC">
      <w:pPr>
        <w:spacing w:after="0"/>
        <w:ind w:left="360"/>
        <w:rPr>
          <w:color w:val="2E74B5" w:themeColor="accent1" w:themeShade="BF"/>
        </w:rPr>
      </w:pPr>
      <w:r w:rsidRPr="006B5BDC">
        <w:rPr>
          <w:color w:val="2E74B5" w:themeColor="accent1" w:themeShade="BF"/>
        </w:rPr>
        <w:t xml:space="preserve">    fc=12e9,</w:t>
      </w:r>
    </w:p>
    <w:p w14:paraId="597AEE86" w14:textId="77777777" w:rsidR="006B5BDC" w:rsidRPr="006B5BDC" w:rsidRDefault="006B5BDC" w:rsidP="006B5BDC">
      <w:pPr>
        <w:spacing w:after="0"/>
        <w:ind w:left="360"/>
        <w:rPr>
          <w:color w:val="2E74B5" w:themeColor="accent1" w:themeShade="BF"/>
        </w:rPr>
      </w:pPr>
      <w:r w:rsidRPr="006B5BDC">
        <w:rPr>
          <w:color w:val="2E74B5" w:themeColor="accent1" w:themeShade="BF"/>
        </w:rPr>
        <w:t xml:space="preserve">    </w:t>
      </w:r>
      <w:proofErr w:type="spellStart"/>
      <w:r w:rsidRPr="006B5BDC">
        <w:rPr>
          <w:color w:val="2E74B5" w:themeColor="accent1" w:themeShade="BF"/>
        </w:rPr>
        <w:t>G_tx</w:t>
      </w:r>
      <w:proofErr w:type="spellEnd"/>
      <w:r w:rsidRPr="006B5BDC">
        <w:rPr>
          <w:color w:val="2E74B5" w:themeColor="accent1" w:themeShade="BF"/>
        </w:rPr>
        <w:t>=10000,</w:t>
      </w:r>
    </w:p>
    <w:p w14:paraId="5C1D7ED1" w14:textId="77777777" w:rsidR="006B5BDC" w:rsidRPr="006B5BDC" w:rsidRDefault="006B5BDC" w:rsidP="006B5BDC">
      <w:pPr>
        <w:spacing w:after="0"/>
        <w:ind w:left="360"/>
        <w:rPr>
          <w:color w:val="2E74B5" w:themeColor="accent1" w:themeShade="BF"/>
        </w:rPr>
      </w:pPr>
      <w:r w:rsidRPr="006B5BDC">
        <w:rPr>
          <w:color w:val="2E74B5" w:themeColor="accent1" w:themeShade="BF"/>
        </w:rPr>
        <w:t xml:space="preserve">    </w:t>
      </w:r>
      <w:proofErr w:type="spellStart"/>
      <w:r w:rsidRPr="006B5BDC">
        <w:rPr>
          <w:color w:val="2E74B5" w:themeColor="accent1" w:themeShade="BF"/>
        </w:rPr>
        <w:t>G_rx</w:t>
      </w:r>
      <w:proofErr w:type="spellEnd"/>
      <w:r w:rsidRPr="006B5BDC">
        <w:rPr>
          <w:color w:val="2E74B5" w:themeColor="accent1" w:themeShade="BF"/>
        </w:rPr>
        <w:t>=10000,</w:t>
      </w:r>
    </w:p>
    <w:p w14:paraId="72970698" w14:textId="77777777" w:rsidR="006B5BDC" w:rsidRPr="006B5BDC" w:rsidRDefault="006B5BDC" w:rsidP="006B5BDC">
      <w:pPr>
        <w:spacing w:after="0"/>
        <w:ind w:left="360"/>
        <w:rPr>
          <w:color w:val="2E74B5" w:themeColor="accent1" w:themeShade="BF"/>
        </w:rPr>
      </w:pPr>
      <w:r w:rsidRPr="006B5BDC">
        <w:rPr>
          <w:color w:val="2E74B5" w:themeColor="accent1" w:themeShade="BF"/>
        </w:rPr>
        <w:t xml:space="preserve">    noise=1e-13,</w:t>
      </w:r>
    </w:p>
    <w:p w14:paraId="26E4D9ED" w14:textId="77777777" w:rsidR="006B5BDC" w:rsidRPr="006B5BDC" w:rsidRDefault="006B5BDC" w:rsidP="006B5BDC">
      <w:pPr>
        <w:spacing w:after="0"/>
        <w:ind w:left="360"/>
        <w:rPr>
          <w:color w:val="2E74B5" w:themeColor="accent1" w:themeShade="BF"/>
        </w:rPr>
      </w:pPr>
      <w:r w:rsidRPr="006B5BDC">
        <w:rPr>
          <w:color w:val="2E74B5" w:themeColor="accent1" w:themeShade="BF"/>
        </w:rPr>
        <w:t xml:space="preserve">    fading=</w:t>
      </w:r>
      <w:proofErr w:type="gramStart"/>
      <w:r w:rsidRPr="006B5BDC">
        <w:rPr>
          <w:color w:val="2E74B5" w:themeColor="accent1" w:themeShade="BF"/>
        </w:rPr>
        <w:t>fading  #</w:t>
      </w:r>
      <w:proofErr w:type="gramEnd"/>
      <w:r w:rsidRPr="006B5BDC">
        <w:rPr>
          <w:color w:val="2E74B5" w:themeColor="accent1" w:themeShade="BF"/>
        </w:rPr>
        <w:t xml:space="preserve"> Dynamic, per-slot fading value</w:t>
      </w:r>
    </w:p>
    <w:p w14:paraId="3489115F" w14:textId="77777777" w:rsidR="006B5BDC" w:rsidRPr="006B5BDC" w:rsidRDefault="006B5BDC" w:rsidP="006B5BDC">
      <w:pPr>
        <w:spacing w:after="0"/>
        <w:ind w:left="360"/>
        <w:rPr>
          <w:color w:val="2E74B5" w:themeColor="accent1" w:themeShade="BF"/>
        </w:rPr>
      </w:pPr>
      <w:r w:rsidRPr="006B5BDC">
        <w:rPr>
          <w:color w:val="2E74B5" w:themeColor="accent1" w:themeShade="BF"/>
        </w:rPr>
        <w:t>)</w:t>
      </w:r>
    </w:p>
    <w:p w14:paraId="096C2CCD" w14:textId="77777777" w:rsidR="006B5BDC" w:rsidRPr="006B5BDC" w:rsidRDefault="006B5BDC" w:rsidP="006B5BDC">
      <w:pPr>
        <w:numPr>
          <w:ilvl w:val="0"/>
          <w:numId w:val="2"/>
        </w:numPr>
      </w:pPr>
      <w:r w:rsidRPr="006B5BDC">
        <w:rPr>
          <w:b/>
          <w:bCs/>
        </w:rPr>
        <w:t>Fading Model:</w:t>
      </w:r>
      <w:r w:rsidRPr="006B5BDC">
        <w:br/>
        <w:t>Satellite links use a time-varying fading parameter. At each time step, a different fading value is selected (e.g., 1.0, 3.46, 5.03), simulating channel quality variations:</w:t>
      </w:r>
    </w:p>
    <w:p w14:paraId="15FF6C4C" w14:textId="77777777" w:rsidR="006B5BDC" w:rsidRPr="006B5BDC" w:rsidRDefault="006B5BDC" w:rsidP="006B5BDC">
      <w:pPr>
        <w:numPr>
          <w:ilvl w:val="0"/>
          <w:numId w:val="2"/>
        </w:numPr>
      </w:pPr>
      <w:proofErr w:type="spellStart"/>
      <w:proofErr w:type="gramStart"/>
      <w:r w:rsidRPr="006B5BDC">
        <w:t>self.fading</w:t>
      </w:r>
      <w:proofErr w:type="gramEnd"/>
      <w:r w:rsidRPr="006B5BDC">
        <w:t>_states</w:t>
      </w:r>
      <w:proofErr w:type="spellEnd"/>
      <w:r w:rsidRPr="006B5BDC">
        <w:t xml:space="preserve"> = [1.0, 3.46, 5.03]</w:t>
      </w:r>
    </w:p>
    <w:p w14:paraId="02EA5F74" w14:textId="77777777" w:rsidR="006B5BDC" w:rsidRPr="006B5BDC" w:rsidRDefault="006B5BDC" w:rsidP="006B5BDC">
      <w:pPr>
        <w:numPr>
          <w:ilvl w:val="0"/>
          <w:numId w:val="2"/>
        </w:numPr>
      </w:pPr>
      <w:r w:rsidRPr="006B5BDC">
        <w:t xml:space="preserve">fading = </w:t>
      </w:r>
      <w:proofErr w:type="spellStart"/>
      <w:proofErr w:type="gramStart"/>
      <w:r w:rsidRPr="006B5BDC">
        <w:t>self.fading</w:t>
      </w:r>
      <w:proofErr w:type="gramEnd"/>
      <w:r w:rsidRPr="006B5BDC">
        <w:t>_states</w:t>
      </w:r>
      <w:proofErr w:type="spellEnd"/>
      <w:r w:rsidRPr="006B5BDC">
        <w:t xml:space="preserve">[timestep % </w:t>
      </w:r>
      <w:proofErr w:type="spellStart"/>
      <w:r w:rsidRPr="006B5BDC">
        <w:t>len</w:t>
      </w:r>
      <w:proofErr w:type="spellEnd"/>
      <w:r w:rsidRPr="006B5BDC">
        <w:t>(</w:t>
      </w:r>
      <w:proofErr w:type="spellStart"/>
      <w:r w:rsidRPr="006B5BDC">
        <w:t>self.fading_states</w:t>
      </w:r>
      <w:proofErr w:type="spellEnd"/>
      <w:r w:rsidRPr="006B5BDC">
        <w:t>)]</w:t>
      </w:r>
    </w:p>
    <w:p w14:paraId="745C8F53" w14:textId="0039E772" w:rsidR="006B5BDC" w:rsidRDefault="006B5BDC" w:rsidP="006B5BDC"/>
    <w:p w14:paraId="67C978BE" w14:textId="77777777" w:rsidR="008724AC" w:rsidRDefault="008724AC" w:rsidP="006B5BDC"/>
    <w:p w14:paraId="63A47296" w14:textId="77777777" w:rsidR="008724AC" w:rsidRDefault="008724AC" w:rsidP="006B5BDC"/>
    <w:p w14:paraId="69B3FD45" w14:textId="77777777" w:rsidR="008724AC" w:rsidRDefault="008724AC" w:rsidP="006B5BDC"/>
    <w:p w14:paraId="0A96BFC3" w14:textId="77777777" w:rsidR="008724AC" w:rsidRDefault="008724AC" w:rsidP="006B5BDC"/>
    <w:p w14:paraId="4F5BA0DB" w14:textId="77777777" w:rsidR="008724AC" w:rsidRPr="006B5BDC" w:rsidRDefault="008724AC" w:rsidP="006B5BDC"/>
    <w:p w14:paraId="1DF3471D" w14:textId="77777777" w:rsidR="006B5BDC" w:rsidRPr="006B5BDC" w:rsidRDefault="006B5BDC" w:rsidP="006B5BDC">
      <w:pPr>
        <w:rPr>
          <w:b/>
          <w:bCs/>
        </w:rPr>
      </w:pPr>
      <w:r w:rsidRPr="006B5BDC">
        <w:rPr>
          <w:b/>
          <w:bCs/>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2"/>
        <w:gridCol w:w="844"/>
        <w:gridCol w:w="1155"/>
        <w:gridCol w:w="711"/>
        <w:gridCol w:w="1138"/>
        <w:gridCol w:w="1330"/>
        <w:gridCol w:w="660"/>
        <w:gridCol w:w="954"/>
        <w:gridCol w:w="1122"/>
      </w:tblGrid>
      <w:tr w:rsidR="006B5BDC" w:rsidRPr="006B5BDC" w14:paraId="21A25B46" w14:textId="77777777" w:rsidTr="008724AC">
        <w:trPr>
          <w:tblHeader/>
          <w:tblCellSpacing w:w="15" w:type="dxa"/>
        </w:trPr>
        <w:tc>
          <w:tcPr>
            <w:tcW w:w="0" w:type="auto"/>
            <w:vAlign w:val="center"/>
            <w:hideMark/>
          </w:tcPr>
          <w:p w14:paraId="18FBD391" w14:textId="77777777" w:rsidR="006B5BDC" w:rsidRPr="006B5BDC" w:rsidRDefault="006B5BDC" w:rsidP="006B5BDC">
            <w:pPr>
              <w:rPr>
                <w:b/>
                <w:bCs/>
              </w:rPr>
            </w:pPr>
            <w:r w:rsidRPr="006B5BDC">
              <w:rPr>
                <w:b/>
                <w:bCs/>
              </w:rPr>
              <w:t>Link</w:t>
            </w:r>
          </w:p>
        </w:tc>
        <w:tc>
          <w:tcPr>
            <w:tcW w:w="0" w:type="auto"/>
            <w:vAlign w:val="center"/>
            <w:hideMark/>
          </w:tcPr>
          <w:p w14:paraId="0FF025B7" w14:textId="77777777" w:rsidR="006B5BDC" w:rsidRPr="006B5BDC" w:rsidRDefault="006B5BDC" w:rsidP="006B5BDC">
            <w:pPr>
              <w:rPr>
                <w:b/>
                <w:bCs/>
              </w:rPr>
            </w:pPr>
            <w:r w:rsidRPr="006B5BDC">
              <w:rPr>
                <w:b/>
                <w:bCs/>
              </w:rPr>
              <w:t>Method</w:t>
            </w:r>
          </w:p>
        </w:tc>
        <w:tc>
          <w:tcPr>
            <w:tcW w:w="0" w:type="auto"/>
            <w:vAlign w:val="center"/>
            <w:hideMark/>
          </w:tcPr>
          <w:p w14:paraId="0AE38E43" w14:textId="77777777" w:rsidR="006B5BDC" w:rsidRPr="006B5BDC" w:rsidRDefault="006B5BDC" w:rsidP="006B5BDC">
            <w:pPr>
              <w:rPr>
                <w:b/>
                <w:bCs/>
              </w:rPr>
            </w:pPr>
            <w:r w:rsidRPr="006B5BDC">
              <w:rPr>
                <w:b/>
                <w:bCs/>
              </w:rPr>
              <w:t>Bandwidth</w:t>
            </w:r>
          </w:p>
        </w:tc>
        <w:tc>
          <w:tcPr>
            <w:tcW w:w="0" w:type="auto"/>
            <w:vAlign w:val="center"/>
            <w:hideMark/>
          </w:tcPr>
          <w:p w14:paraId="56D55D55" w14:textId="77777777" w:rsidR="006B5BDC" w:rsidRPr="006B5BDC" w:rsidRDefault="006B5BDC" w:rsidP="006B5BDC">
            <w:pPr>
              <w:rPr>
                <w:b/>
                <w:bCs/>
              </w:rPr>
            </w:pPr>
            <w:r w:rsidRPr="006B5BDC">
              <w:rPr>
                <w:b/>
                <w:bCs/>
              </w:rPr>
              <w:t>Power</w:t>
            </w:r>
          </w:p>
        </w:tc>
        <w:tc>
          <w:tcPr>
            <w:tcW w:w="0" w:type="auto"/>
            <w:vAlign w:val="center"/>
            <w:hideMark/>
          </w:tcPr>
          <w:p w14:paraId="526A5A2C" w14:textId="77777777" w:rsidR="006B5BDC" w:rsidRPr="006B5BDC" w:rsidRDefault="006B5BDC" w:rsidP="006B5BDC">
            <w:pPr>
              <w:rPr>
                <w:b/>
                <w:bCs/>
              </w:rPr>
            </w:pPr>
            <w:r w:rsidRPr="006B5BDC">
              <w:rPr>
                <w:b/>
                <w:bCs/>
              </w:rPr>
              <w:t>Frequency</w:t>
            </w:r>
          </w:p>
        </w:tc>
        <w:tc>
          <w:tcPr>
            <w:tcW w:w="0" w:type="auto"/>
            <w:vAlign w:val="center"/>
            <w:hideMark/>
          </w:tcPr>
          <w:p w14:paraId="55123116" w14:textId="77777777" w:rsidR="006B5BDC" w:rsidRPr="006B5BDC" w:rsidRDefault="006B5BDC" w:rsidP="006B5BDC">
            <w:pPr>
              <w:rPr>
                <w:b/>
                <w:bCs/>
              </w:rPr>
            </w:pPr>
            <w:r w:rsidRPr="006B5BDC">
              <w:rPr>
                <w:b/>
                <w:bCs/>
              </w:rPr>
              <w:t>Gains</w:t>
            </w:r>
          </w:p>
        </w:tc>
        <w:tc>
          <w:tcPr>
            <w:tcW w:w="0" w:type="auto"/>
            <w:vAlign w:val="center"/>
            <w:hideMark/>
          </w:tcPr>
          <w:p w14:paraId="35F1F06F" w14:textId="77777777" w:rsidR="006B5BDC" w:rsidRPr="006B5BDC" w:rsidRDefault="006B5BDC" w:rsidP="006B5BDC">
            <w:pPr>
              <w:rPr>
                <w:b/>
                <w:bCs/>
              </w:rPr>
            </w:pPr>
            <w:r w:rsidRPr="006B5BDC">
              <w:rPr>
                <w:b/>
                <w:bCs/>
              </w:rPr>
              <w:t>Noise</w:t>
            </w:r>
          </w:p>
        </w:tc>
        <w:tc>
          <w:tcPr>
            <w:tcW w:w="0" w:type="auto"/>
            <w:vAlign w:val="center"/>
            <w:hideMark/>
          </w:tcPr>
          <w:p w14:paraId="1DA1AB31" w14:textId="77777777" w:rsidR="006B5BDC" w:rsidRPr="006B5BDC" w:rsidRDefault="006B5BDC" w:rsidP="006B5BDC">
            <w:pPr>
              <w:rPr>
                <w:b/>
                <w:bCs/>
              </w:rPr>
            </w:pPr>
            <w:r w:rsidRPr="006B5BDC">
              <w:rPr>
                <w:b/>
                <w:bCs/>
              </w:rPr>
              <w:t>Fading</w:t>
            </w:r>
          </w:p>
        </w:tc>
        <w:tc>
          <w:tcPr>
            <w:tcW w:w="0" w:type="auto"/>
            <w:vAlign w:val="center"/>
            <w:hideMark/>
          </w:tcPr>
          <w:p w14:paraId="5E313A9C" w14:textId="77777777" w:rsidR="006B5BDC" w:rsidRPr="006B5BDC" w:rsidRDefault="006B5BDC" w:rsidP="006B5BDC">
            <w:pPr>
              <w:rPr>
                <w:b/>
                <w:bCs/>
              </w:rPr>
            </w:pPr>
            <w:r w:rsidRPr="006B5BDC">
              <w:rPr>
                <w:b/>
                <w:bCs/>
              </w:rPr>
              <w:t>Access</w:t>
            </w:r>
          </w:p>
        </w:tc>
      </w:tr>
      <w:tr w:rsidR="006B5BDC" w:rsidRPr="006B5BDC" w14:paraId="0A3FDDA0" w14:textId="77777777" w:rsidTr="008724AC">
        <w:trPr>
          <w:tblCellSpacing w:w="15" w:type="dxa"/>
        </w:trPr>
        <w:tc>
          <w:tcPr>
            <w:tcW w:w="0" w:type="auto"/>
            <w:vAlign w:val="center"/>
            <w:hideMark/>
          </w:tcPr>
          <w:p w14:paraId="6C9455C8" w14:textId="77777777" w:rsidR="006B5BDC" w:rsidRPr="006B5BDC" w:rsidRDefault="006B5BDC" w:rsidP="006B5BDC">
            <w:r w:rsidRPr="006B5BDC">
              <w:t>IoT → UAV</w:t>
            </w:r>
          </w:p>
        </w:tc>
        <w:tc>
          <w:tcPr>
            <w:tcW w:w="0" w:type="auto"/>
            <w:vAlign w:val="center"/>
            <w:hideMark/>
          </w:tcPr>
          <w:p w14:paraId="11ABD331" w14:textId="77777777" w:rsidR="006B5BDC" w:rsidRPr="006B5BDC" w:rsidRDefault="006B5BDC" w:rsidP="006B5BDC">
            <w:r w:rsidRPr="006B5BDC">
              <w:t>TDMA</w:t>
            </w:r>
          </w:p>
        </w:tc>
        <w:tc>
          <w:tcPr>
            <w:tcW w:w="0" w:type="auto"/>
            <w:vAlign w:val="center"/>
            <w:hideMark/>
          </w:tcPr>
          <w:p w14:paraId="07D1CA42" w14:textId="77777777" w:rsidR="006B5BDC" w:rsidRPr="006B5BDC" w:rsidRDefault="006B5BDC" w:rsidP="006B5BDC">
            <w:r w:rsidRPr="006B5BDC">
              <w:t>5 MHz</w:t>
            </w:r>
          </w:p>
        </w:tc>
        <w:tc>
          <w:tcPr>
            <w:tcW w:w="0" w:type="auto"/>
            <w:vAlign w:val="center"/>
            <w:hideMark/>
          </w:tcPr>
          <w:p w14:paraId="1648F615" w14:textId="77777777" w:rsidR="006B5BDC" w:rsidRPr="006B5BDC" w:rsidRDefault="006B5BDC" w:rsidP="006B5BDC">
            <w:r w:rsidRPr="006B5BDC">
              <w:t>0.1 W</w:t>
            </w:r>
          </w:p>
        </w:tc>
        <w:tc>
          <w:tcPr>
            <w:tcW w:w="0" w:type="auto"/>
            <w:vAlign w:val="center"/>
            <w:hideMark/>
          </w:tcPr>
          <w:p w14:paraId="08154EA3" w14:textId="77777777" w:rsidR="006B5BDC" w:rsidRPr="006B5BDC" w:rsidRDefault="006B5BDC" w:rsidP="006B5BDC">
            <w:r w:rsidRPr="006B5BDC">
              <w:t>2 GHz</w:t>
            </w:r>
          </w:p>
        </w:tc>
        <w:tc>
          <w:tcPr>
            <w:tcW w:w="0" w:type="auto"/>
            <w:vAlign w:val="center"/>
            <w:hideMark/>
          </w:tcPr>
          <w:p w14:paraId="34766FE0" w14:textId="77777777" w:rsidR="006B5BDC" w:rsidRPr="006B5BDC" w:rsidRDefault="006B5BDC" w:rsidP="006B5BDC">
            <w:r w:rsidRPr="006B5BDC">
              <w:t>1/10</w:t>
            </w:r>
          </w:p>
        </w:tc>
        <w:tc>
          <w:tcPr>
            <w:tcW w:w="0" w:type="auto"/>
            <w:vAlign w:val="center"/>
            <w:hideMark/>
          </w:tcPr>
          <w:p w14:paraId="3EAEA1BE" w14:textId="77777777" w:rsidR="006B5BDC" w:rsidRPr="006B5BDC" w:rsidRDefault="006B5BDC" w:rsidP="006B5BDC">
            <w:r w:rsidRPr="006B5BDC">
              <w:t>1e-9</w:t>
            </w:r>
          </w:p>
        </w:tc>
        <w:tc>
          <w:tcPr>
            <w:tcW w:w="0" w:type="auto"/>
            <w:vAlign w:val="center"/>
            <w:hideMark/>
          </w:tcPr>
          <w:p w14:paraId="4C7FC6CC" w14:textId="77777777" w:rsidR="006B5BDC" w:rsidRPr="006B5BDC" w:rsidRDefault="006B5BDC" w:rsidP="006B5BDC">
            <w:r w:rsidRPr="006B5BDC">
              <w:t>1.0 (fixed)</w:t>
            </w:r>
          </w:p>
        </w:tc>
        <w:tc>
          <w:tcPr>
            <w:tcW w:w="0" w:type="auto"/>
            <w:vAlign w:val="center"/>
            <w:hideMark/>
          </w:tcPr>
          <w:p w14:paraId="5CFA529B" w14:textId="77777777" w:rsidR="006B5BDC" w:rsidRPr="006B5BDC" w:rsidRDefault="006B5BDC" w:rsidP="006B5BDC">
            <w:r w:rsidRPr="006B5BDC">
              <w:t>Sequential</w:t>
            </w:r>
          </w:p>
        </w:tc>
      </w:tr>
      <w:tr w:rsidR="006B5BDC" w:rsidRPr="006B5BDC" w14:paraId="73FA0810" w14:textId="77777777" w:rsidTr="008724AC">
        <w:trPr>
          <w:tblCellSpacing w:w="15" w:type="dxa"/>
        </w:trPr>
        <w:tc>
          <w:tcPr>
            <w:tcW w:w="0" w:type="auto"/>
            <w:vAlign w:val="center"/>
            <w:hideMark/>
          </w:tcPr>
          <w:p w14:paraId="4F260A62" w14:textId="77777777" w:rsidR="006B5BDC" w:rsidRPr="006B5BDC" w:rsidRDefault="006B5BDC" w:rsidP="006B5BDC">
            <w:r w:rsidRPr="006B5BDC">
              <w:lastRenderedPageBreak/>
              <w:t>UAV → Satellite</w:t>
            </w:r>
          </w:p>
        </w:tc>
        <w:tc>
          <w:tcPr>
            <w:tcW w:w="0" w:type="auto"/>
            <w:vAlign w:val="center"/>
            <w:hideMark/>
          </w:tcPr>
          <w:p w14:paraId="0169217B" w14:textId="77777777" w:rsidR="006B5BDC" w:rsidRPr="006B5BDC" w:rsidRDefault="006B5BDC" w:rsidP="006B5BDC">
            <w:r w:rsidRPr="006B5BDC">
              <w:t>OFDMA</w:t>
            </w:r>
          </w:p>
        </w:tc>
        <w:tc>
          <w:tcPr>
            <w:tcW w:w="0" w:type="auto"/>
            <w:vAlign w:val="center"/>
            <w:hideMark/>
          </w:tcPr>
          <w:p w14:paraId="393610EC" w14:textId="77777777" w:rsidR="006B5BDC" w:rsidRPr="006B5BDC" w:rsidRDefault="006B5BDC" w:rsidP="006B5BDC">
            <w:r w:rsidRPr="006B5BDC">
              <w:t>1 MHz</w:t>
            </w:r>
          </w:p>
        </w:tc>
        <w:tc>
          <w:tcPr>
            <w:tcW w:w="0" w:type="auto"/>
            <w:vAlign w:val="center"/>
            <w:hideMark/>
          </w:tcPr>
          <w:p w14:paraId="6A341223" w14:textId="77777777" w:rsidR="006B5BDC" w:rsidRPr="006B5BDC" w:rsidRDefault="006B5BDC" w:rsidP="006B5BDC">
            <w:r w:rsidRPr="006B5BDC">
              <w:t>10 W</w:t>
            </w:r>
          </w:p>
        </w:tc>
        <w:tc>
          <w:tcPr>
            <w:tcW w:w="0" w:type="auto"/>
            <w:vAlign w:val="center"/>
            <w:hideMark/>
          </w:tcPr>
          <w:p w14:paraId="6AA8BD4D" w14:textId="77777777" w:rsidR="006B5BDC" w:rsidRPr="006B5BDC" w:rsidRDefault="006B5BDC" w:rsidP="006B5BDC">
            <w:r w:rsidRPr="006B5BDC">
              <w:t>12 GHz</w:t>
            </w:r>
          </w:p>
        </w:tc>
        <w:tc>
          <w:tcPr>
            <w:tcW w:w="0" w:type="auto"/>
            <w:vAlign w:val="center"/>
            <w:hideMark/>
          </w:tcPr>
          <w:p w14:paraId="66732516" w14:textId="77777777" w:rsidR="006B5BDC" w:rsidRPr="006B5BDC" w:rsidRDefault="006B5BDC" w:rsidP="006B5BDC">
            <w:r w:rsidRPr="006B5BDC">
              <w:t>10000/10000</w:t>
            </w:r>
          </w:p>
        </w:tc>
        <w:tc>
          <w:tcPr>
            <w:tcW w:w="0" w:type="auto"/>
            <w:vAlign w:val="center"/>
            <w:hideMark/>
          </w:tcPr>
          <w:p w14:paraId="6A62AF55" w14:textId="77777777" w:rsidR="006B5BDC" w:rsidRPr="006B5BDC" w:rsidRDefault="006B5BDC" w:rsidP="006B5BDC">
            <w:r w:rsidRPr="006B5BDC">
              <w:t>1e-13</w:t>
            </w:r>
          </w:p>
        </w:tc>
        <w:tc>
          <w:tcPr>
            <w:tcW w:w="0" w:type="auto"/>
            <w:vAlign w:val="center"/>
            <w:hideMark/>
          </w:tcPr>
          <w:p w14:paraId="66ED30C2" w14:textId="77777777" w:rsidR="006B5BDC" w:rsidRPr="006B5BDC" w:rsidRDefault="006B5BDC" w:rsidP="006B5BDC">
            <w:r w:rsidRPr="006B5BDC">
              <w:t>Dynamic</w:t>
            </w:r>
          </w:p>
        </w:tc>
        <w:tc>
          <w:tcPr>
            <w:tcW w:w="0" w:type="auto"/>
            <w:vAlign w:val="center"/>
            <w:hideMark/>
          </w:tcPr>
          <w:p w14:paraId="34747D5C" w14:textId="77777777" w:rsidR="006B5BDC" w:rsidRPr="006B5BDC" w:rsidRDefault="006B5BDC" w:rsidP="006B5BDC">
            <w:r w:rsidRPr="006B5BDC">
              <w:t>Slot-based</w:t>
            </w:r>
          </w:p>
        </w:tc>
      </w:tr>
    </w:tbl>
    <w:p w14:paraId="5A143F41" w14:textId="5CFACB8D" w:rsidR="006B5BDC" w:rsidRPr="006B5BDC" w:rsidRDefault="006B5BDC" w:rsidP="006B5BDC"/>
    <w:p w14:paraId="7A31054B" w14:textId="061133BF" w:rsidR="006B5BDC" w:rsidRPr="006B5BDC" w:rsidRDefault="006B5BDC" w:rsidP="006B5BDC">
      <w:proofErr w:type="spellStart"/>
      <w:r>
        <w:rPr>
          <w:b/>
          <w:bCs/>
        </w:rPr>
        <w:t>Breief</w:t>
      </w:r>
      <w:proofErr w:type="spellEnd"/>
      <w:r>
        <w:rPr>
          <w:b/>
          <w:bCs/>
        </w:rPr>
        <w:t xml:space="preserve">: </w:t>
      </w:r>
      <w:r w:rsidRPr="006B5BDC">
        <w:t>We use a unified function (</w:t>
      </w:r>
      <w:proofErr w:type="spellStart"/>
      <w:r w:rsidRPr="006B5BDC">
        <w:t>compute_rate_general</w:t>
      </w:r>
      <w:proofErr w:type="spellEnd"/>
      <w:r w:rsidRPr="006B5BDC">
        <w:t>) to model all wireless communication links. For IoT-to-UAV, we simulate TDMA with modest transmit power and bandwidth, appropriate for local connections. For UAV-to-satellite, we use OFDMA in the Ku-band, high-gain antennas, and strong power, with dynamic fading to reflect real satellite channel conditions. All parameter settings can be customized for further extensions, such as introducing mobility or more advanced channel models</w:t>
      </w:r>
    </w:p>
    <w:p w14:paraId="237E2AD8" w14:textId="77777777" w:rsidR="00CB5499" w:rsidRPr="006B5BDC" w:rsidRDefault="00CB5499" w:rsidP="006B5BDC"/>
    <w:sectPr w:rsidR="00CB5499" w:rsidRPr="006B5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57DC2"/>
    <w:multiLevelType w:val="multilevel"/>
    <w:tmpl w:val="AC6A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F80616"/>
    <w:multiLevelType w:val="multilevel"/>
    <w:tmpl w:val="4DB44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230326">
    <w:abstractNumId w:val="1"/>
  </w:num>
  <w:num w:numId="2" w16cid:durableId="32127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99"/>
    <w:rsid w:val="00485A3C"/>
    <w:rsid w:val="006B5BDC"/>
    <w:rsid w:val="008724AC"/>
    <w:rsid w:val="008B6729"/>
    <w:rsid w:val="00BB44C7"/>
    <w:rsid w:val="00C008E6"/>
    <w:rsid w:val="00CB54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0A91"/>
  <w15:chartTrackingRefBased/>
  <w15:docId w15:val="{43698721-0544-4146-996E-9BD7F9B3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49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B549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B549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B549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B549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B5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49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B54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B549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B549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B549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B5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499"/>
    <w:rPr>
      <w:rFonts w:eastAsiaTheme="majorEastAsia" w:cstheme="majorBidi"/>
      <w:color w:val="272727" w:themeColor="text1" w:themeTint="D8"/>
    </w:rPr>
  </w:style>
  <w:style w:type="paragraph" w:styleId="Title">
    <w:name w:val="Title"/>
    <w:basedOn w:val="Normal"/>
    <w:next w:val="Normal"/>
    <w:link w:val="TitleChar"/>
    <w:uiPriority w:val="10"/>
    <w:qFormat/>
    <w:rsid w:val="00CB5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499"/>
    <w:pPr>
      <w:spacing w:before="160"/>
      <w:jc w:val="center"/>
    </w:pPr>
    <w:rPr>
      <w:i/>
      <w:iCs/>
      <w:color w:val="404040" w:themeColor="text1" w:themeTint="BF"/>
    </w:rPr>
  </w:style>
  <w:style w:type="character" w:customStyle="1" w:styleId="QuoteChar">
    <w:name w:val="Quote Char"/>
    <w:basedOn w:val="DefaultParagraphFont"/>
    <w:link w:val="Quote"/>
    <w:uiPriority w:val="29"/>
    <w:rsid w:val="00CB5499"/>
    <w:rPr>
      <w:i/>
      <w:iCs/>
      <w:color w:val="404040" w:themeColor="text1" w:themeTint="BF"/>
    </w:rPr>
  </w:style>
  <w:style w:type="paragraph" w:styleId="ListParagraph">
    <w:name w:val="List Paragraph"/>
    <w:basedOn w:val="Normal"/>
    <w:uiPriority w:val="34"/>
    <w:qFormat/>
    <w:rsid w:val="00CB5499"/>
    <w:pPr>
      <w:ind w:left="720"/>
      <w:contextualSpacing/>
    </w:pPr>
  </w:style>
  <w:style w:type="character" w:styleId="IntenseEmphasis">
    <w:name w:val="Intense Emphasis"/>
    <w:basedOn w:val="DefaultParagraphFont"/>
    <w:uiPriority w:val="21"/>
    <w:qFormat/>
    <w:rsid w:val="00CB5499"/>
    <w:rPr>
      <w:i/>
      <w:iCs/>
      <w:color w:val="2E74B5" w:themeColor="accent1" w:themeShade="BF"/>
    </w:rPr>
  </w:style>
  <w:style w:type="paragraph" w:styleId="IntenseQuote">
    <w:name w:val="Intense Quote"/>
    <w:basedOn w:val="Normal"/>
    <w:next w:val="Normal"/>
    <w:link w:val="IntenseQuoteChar"/>
    <w:uiPriority w:val="30"/>
    <w:qFormat/>
    <w:rsid w:val="00CB549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B5499"/>
    <w:rPr>
      <w:i/>
      <w:iCs/>
      <w:color w:val="2E74B5" w:themeColor="accent1" w:themeShade="BF"/>
    </w:rPr>
  </w:style>
  <w:style w:type="character" w:styleId="IntenseReference">
    <w:name w:val="Intense Reference"/>
    <w:basedOn w:val="DefaultParagraphFont"/>
    <w:uiPriority w:val="32"/>
    <w:qFormat/>
    <w:rsid w:val="00CB549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264290">
      <w:bodyDiv w:val="1"/>
      <w:marLeft w:val="0"/>
      <w:marRight w:val="0"/>
      <w:marTop w:val="0"/>
      <w:marBottom w:val="0"/>
      <w:divBdr>
        <w:top w:val="none" w:sz="0" w:space="0" w:color="auto"/>
        <w:left w:val="none" w:sz="0" w:space="0" w:color="auto"/>
        <w:bottom w:val="none" w:sz="0" w:space="0" w:color="auto"/>
        <w:right w:val="none" w:sz="0" w:space="0" w:color="auto"/>
      </w:divBdr>
      <w:divsChild>
        <w:div w:id="13082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770067">
      <w:bodyDiv w:val="1"/>
      <w:marLeft w:val="0"/>
      <w:marRight w:val="0"/>
      <w:marTop w:val="0"/>
      <w:marBottom w:val="0"/>
      <w:divBdr>
        <w:top w:val="none" w:sz="0" w:space="0" w:color="auto"/>
        <w:left w:val="none" w:sz="0" w:space="0" w:color="auto"/>
        <w:bottom w:val="none" w:sz="0" w:space="0" w:color="auto"/>
        <w:right w:val="none" w:sz="0" w:space="0" w:color="auto"/>
      </w:divBdr>
      <w:divsChild>
        <w:div w:id="19739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6AEEA7A1927B419417A432B4D74EF9" ma:contentTypeVersion="16" ma:contentTypeDescription="Create a new document." ma:contentTypeScope="" ma:versionID="bb4c23d51d842993550a7826ad0d8fd2">
  <xsd:schema xmlns:xsd="http://www.w3.org/2001/XMLSchema" xmlns:xs="http://www.w3.org/2001/XMLSchema" xmlns:p="http://schemas.microsoft.com/office/2006/metadata/properties" xmlns:ns3="d8dd0df6-25b9-475d-a18c-1478b5c0427c" xmlns:ns4="76e155c5-524c-44af-af23-bf7c4366850d" targetNamespace="http://schemas.microsoft.com/office/2006/metadata/properties" ma:root="true" ma:fieldsID="c8556cd8360c3020039826bfce976e38" ns3:_="" ns4:_="">
    <xsd:import namespace="d8dd0df6-25b9-475d-a18c-1478b5c0427c"/>
    <xsd:import namespace="76e155c5-524c-44af-af23-bf7c4366850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Location" minOccurs="0"/>
                <xsd:element ref="ns4:_activity" minOccurs="0"/>
                <xsd:element ref="ns4:MediaServiceObjectDetectorVersions" minOccurs="0"/>
                <xsd:element ref="ns4:MediaLengthInSeconds" minOccurs="0"/>
                <xsd:element ref="ns4:MediaServiceOCR"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dd0df6-25b9-475d-a18c-1478b5c0427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e155c5-524c-44af-af23-bf7c4366850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6e155c5-524c-44af-af23-bf7c4366850d" xsi:nil="true"/>
  </documentManagement>
</p:properties>
</file>

<file path=customXml/itemProps1.xml><?xml version="1.0" encoding="utf-8"?>
<ds:datastoreItem xmlns:ds="http://schemas.openxmlformats.org/officeDocument/2006/customXml" ds:itemID="{9D12F010-4761-42AE-AF01-5DBD4C08A6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dd0df6-25b9-475d-a18c-1478b5c0427c"/>
    <ds:schemaRef ds:uri="76e155c5-524c-44af-af23-bf7c436685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67C9ED-5997-4188-A094-7F300FEB5B29}">
  <ds:schemaRefs>
    <ds:schemaRef ds:uri="http://schemas.microsoft.com/sharepoint/v3/contenttype/forms"/>
  </ds:schemaRefs>
</ds:datastoreItem>
</file>

<file path=customXml/itemProps3.xml><?xml version="1.0" encoding="utf-8"?>
<ds:datastoreItem xmlns:ds="http://schemas.openxmlformats.org/officeDocument/2006/customXml" ds:itemID="{14B581EC-308B-4A2C-8822-3D58BFE10033}">
  <ds:schemaRefs>
    <ds:schemaRef ds:uri="http://purl.org/dc/terms/"/>
    <ds:schemaRef ds:uri="http://www.w3.org/XML/1998/namespace"/>
    <ds:schemaRef ds:uri="http://purl.org/dc/dcmitype/"/>
    <ds:schemaRef ds:uri="http://schemas.microsoft.com/office/infopath/2007/PartnerControls"/>
    <ds:schemaRef ds:uri="d8dd0df6-25b9-475d-a18c-1478b5c0427c"/>
    <ds:schemaRef ds:uri="76e155c5-524c-44af-af23-bf7c4366850d"/>
    <ds:schemaRef ds:uri="http://purl.org/dc/elements/1.1/"/>
    <ds:schemaRef ds:uri="http://schemas.microsoft.com/office/2006/documentManagement/type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Sangita Dhara</dc:creator>
  <cp:keywords/>
  <dc:description/>
  <cp:lastModifiedBy>Sangita Dhara</cp:lastModifiedBy>
  <cp:revision>1</cp:revision>
  <dcterms:created xsi:type="dcterms:W3CDTF">2025-06-05T14:29:00Z</dcterms:created>
  <dcterms:modified xsi:type="dcterms:W3CDTF">2025-06-05T14:54:00Z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0x010100046AEEA7A1927B419417A432B4D74EF9</vt:lpwstr>
  </property>
</Properties>
</file>