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其工作流程如下：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当Web服务器启动的时候，根据web.xml文件加载并初始化ActionServlet，根据配置ActionServlet的config参数信息，确定struts-config.xml配置文件存放的位置，并根据Servlet映射配置确定其拦截处理的URL，例如，拦截请求的后缀是.do的UR。根据struts-config.xml中的配置信息，为struts中不同的模块初始化相应的对象。</w:t>
      </w:r>
    </w:p>
    <w:p>
      <w:pPr>
        <w:rPr>
          <w:rFonts w:hint="default"/>
        </w:rPr>
      </w:pPr>
      <w:r>
        <w:rPr>
          <w:rFonts w:hint="default"/>
        </w:rPr>
        <w:t xml:space="preserve">    用户通过Web浏览器向Web服务器提交HTTP请求，Web服务器根据用户请求的URL进行不同的操作。如果用户请求的后缀是.do（请求后缀的过滤可以在web.xml中设置），则交由ActionServlet来处理该客户端请求。如果用户端请求的URL后缀不是.do或者在web.xml中没有对应匹配的servlet，则Web浏览器将直接处理，并将处理的结果返回Web浏览器</w:t>
      </w:r>
    </w:p>
    <w:p>
      <w:pPr>
        <w:rPr>
          <w:rFonts w:hint="default"/>
        </w:rPr>
      </w:pPr>
      <w:r>
        <w:rPr>
          <w:rFonts w:hint="default"/>
        </w:rPr>
        <w:t xml:space="preserve">    ActionServlet接收到客户请求后，根据struts-config.xml文件中注册的ActionForm创建 ActionForm实例对象，并自动填充客户请求中传递来的表单数据到ActionForm Bean对象中。</w:t>
      </w:r>
    </w:p>
    <w:p>
      <w:pPr>
        <w:rPr>
          <w:rFonts w:hint="default"/>
        </w:rPr>
      </w:pPr>
      <w:r>
        <w:rPr>
          <w:rFonts w:hint="default"/>
        </w:rPr>
        <w:t xml:space="preserve">    ActionServlet根据struts-config.xml文件中注册的Action，将请求转发给对应的Action对象，调用execute()方法处理请求（如读取ActionForm中的数据，调用JavaBean进行业务处理）。</w:t>
      </w:r>
    </w:p>
    <w:p>
      <w:pPr>
        <w:rPr>
          <w:rFonts w:hint="default"/>
        </w:rPr>
      </w:pPr>
      <w:r>
        <w:rPr>
          <w:rFonts w:hint="default"/>
        </w:rPr>
        <w:t xml:space="preserve">    Action完成任务后，回送ActionForward对象给ActionServlet。</w:t>
      </w:r>
    </w:p>
    <w:p>
      <w:pPr>
        <w:rPr>
          <w:rFonts w:hint="default"/>
        </w:rPr>
      </w:pPr>
      <w:r>
        <w:rPr>
          <w:rFonts w:hint="default"/>
        </w:rPr>
        <w:t xml:space="preserve">    ActionServlet根据ActionForward对象的内容对相应的JSP页面处理，并将处理后的结果返回Web浏览器。</w:t>
      </w: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版权声明：本文为CSDN博主「zhuxinquan61」的原创文章，遵循 CC 4.0 BY-SA 版权协议，转载请附上原文出处链接及本声明。</w:t>
      </w:r>
    </w:p>
    <w:p>
      <w:r>
        <w:rPr>
          <w:rFonts w:hint="default"/>
        </w:rPr>
        <w:t>原文链接：https://blog.csdn.net/zhuxinquan61/article/details/52381379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9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matrix</cp:lastModifiedBy>
  <dcterms:modified xsi:type="dcterms:W3CDTF">2019-11-01T11:05:15Z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