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 w:lineRule="auto"/>
      </w:pPr>
      <w:r>
        <w:rPr>
          <w:rFonts w:ascii="Malgun Gothic" w:cs="Malgun Gothic" w:eastAsia="맑은 고딕" w:hAnsi="Malgun Gothic"/>
          <w:b/>
          <w:bCs/>
          <w:color w:val="2F5496"/>
          <w:spacing w:val="30"/>
          <w:sz w:val="16"/>
          <w:szCs w:val="16"/>
        </w:rPr>
        <w:t xml:space="preserve">공식 제출물 5 · 팀원 롤 기술서</w:t>
      </w:r>
    </w:p>
    <w:p>
      <w:pPr>
        <w:spacing w:after="80" w:before="0" w:line="400" w:lineRule="auto"/>
      </w:pPr>
      <w:r>
        <w:rPr>
          <w:rFonts w:ascii="Malgun Gothic" w:cs="Malgun Gothic" w:eastAsia="맑은 고딕" w:hAnsi="Malgun Gothic"/>
          <w:b/>
          <w:bCs/>
          <w:color w:val="1F3864"/>
          <w:sz w:val="40"/>
          <w:szCs w:val="40"/>
        </w:rPr>
        <w:t xml:space="preserve">미지의 경매장 — 팀원 역할 기술서</w:t>
      </w:r>
    </w:p>
    <w:p>
      <w:pPr>
        <w:spacing w:after="0" w:before="0" w:line="280" w:lineRule="auto"/>
      </w:pPr>
      <w:r>
        <w:rPr>
          <w:rFonts w:ascii="Malgun Gothic" w:cs="Malgun Gothic" w:eastAsia="맑은 고딕" w:hAnsi="Malgun Gothic"/>
          <w:color w:val="767676"/>
          <w:sz w:val="20"/>
          <w:szCs w:val="20"/>
        </w:rPr>
        <w:t xml:space="preserve">기획·콘텐츠, 화면·비주얼, 엔진·검증을 나누고 공통 데이터 계약으로 결합한다</w:t>
      </w:r>
    </w:p>
    <w:p>
      <w:pPr>
        <w:pBdr>
          <w:bottom w:val="single" w:color="1F3864" w:sz="12" w:space="1"/>
        </w:pBdr>
        <w:spacing w:after="360" w:before="14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1. 협업 구조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팀은 기획·콘텐츠, 화면·비주얼, 엔진·검증을 나누고, 공통 데이터 계약을 통해 결과물을 결합한다. View Spec Lite 결과는 화면 골격과 좌표·크기·플로우를 제공하고, 게임 엔진은 경제 규칙과 상태를 관리하며, 생성 AI는 엔진이 허용한 표현 필드만 채운다.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2. 팀원별 역할</w:t>
      </w:r>
    </w:p>
    <w:tbl>
      <w:tblPr>
        <w:tblW w:type="dxa" w:w="9506"/>
        <w:tblBorders>
          <w:top w:val="single" w:color="1F3864" w:sz="8"/>
          <w:left w:val="single" w:color="D9D9D9" w:sz="2"/>
          <w:bottom w:val="single" w:color="1F3864" w:sz="8"/>
          <w:right w:val="single" w:color="D9D9D9" w:sz="2"/>
          <w:insideH w:val="single" w:color="D9D9D9" w:sz="2"/>
          <w:insideV w:val="single" w:color="D9D9D9" w:sz="2"/>
        </w:tblBorders>
      </w:tblPr>
      <w:tblGrid>
        <w:gridCol w:w="1584"/>
        <w:gridCol w:w="6073"/>
        <w:gridCol w:w="1849"/>
      </w:tblGrid>
      <w:tr>
        <w:trPr>
          <w:tblHeader/>
        </w:trPr>
        <w:tc>
          <w:tcPr>
            <w:tcW w:type="dxa" w:w="15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팀원</w:t>
            </w:r>
          </w:p>
        </w:tc>
        <w:tc>
          <w:tcPr>
            <w:tcW w:type="dxa" w:w="607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담당 영역</w:t>
            </w:r>
          </w:p>
        </w:tc>
        <w:tc>
          <w:tcPr>
            <w:tcW w:type="dxa" w:w="184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대표 산출물</w:t>
            </w:r>
          </w:p>
        </w:tc>
      </w:tr>
      <w:tr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임상진</w:t>
            </w:r>
          </w:p>
        </w:tc>
        <w:tc>
          <w:tcPr>
            <w:tcW w:type="dxa" w:w="60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프로젝트 통합, 게임 기획·문서, 배경 및 화면 자료 정리, AI·런타임 연결 조율</w:t>
            </w:r>
          </w:p>
        </w:tc>
        <w:tc>
          <w:tcPr>
            <w:tcW w:type="dxa" w:w="18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</w:tr>
      <w:tr>
        <w:tc>
          <w:tcPr>
            <w:tcW w:type="dxa" w:w="1584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</w:t>
            </w:r>
          </w:p>
        </w:tc>
        <w:tc>
          <w:tcPr>
            <w:tcW w:type="dxa" w:w="6073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화면 구조 검토, 비주얼 품질·스케일 조정, 핵심 UX 승인</w:t>
            </w:r>
          </w:p>
        </w:tc>
        <w:tc>
          <w:tcPr>
            <w:tcW w:type="dxa" w:w="184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</w:tr>
      <w:tr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최재혁</w:t>
            </w:r>
          </w:p>
        </w:tc>
        <w:tc>
          <w:tcPr>
            <w:tcW w:type="dxa" w:w="60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게임 엔진, 상태 머신, 밸런스 로직, 테스트·시뮬레이션</w:t>
            </w:r>
          </w:p>
        </w:tc>
        <w:tc>
          <w:tcPr>
            <w:tcW w:type="dxa" w:w="18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</w:tr>
      <w:tr>
        <w:tc>
          <w:tcPr>
            <w:tcW w:type="dxa" w:w="1584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</w:t>
            </w:r>
          </w:p>
        </w:tc>
        <w:tc>
          <w:tcPr>
            <w:tcW w:type="dxa" w:w="6073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장소 화면, 경매 UI, 의뢰·전시관·이벤트 표현, 생성 템플릿</w:t>
            </w:r>
          </w:p>
        </w:tc>
        <w:tc>
          <w:tcPr>
            <w:tcW w:type="dxa" w:w="184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3. 공동 작업 방식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1. 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기획 문서와 밸런싱 자료에서 엔진 소유 수치와 AI 생성 문구를 분리한다.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2. 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View Spec Lite 결과의 씬·요소 ID를 매핑 계약에 연결한다.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3. 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엔진 담당은 결정론적 규칙과 저장 상태를 구현하고, 콘텐츠/UI 담당은 화면과 표현을 연결한다.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4. 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AI 출력은 스키마, ID, 필수 필드, 금지 수치를 자동 검증한다.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5. 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팀 검토자는 실제 플레이 화면과 기획 의도를 비교해 채택·수정 여부를 결정한다.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4. 협업 원칙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AI 결과를 그대로 채택하지 않았다. 엔진 계약과 팀 검토를 통과한 결과만 실제 게임에 반영했다.</w:t>
      </w:r>
    </w:p>
    <w:sectPr>
      <w:headerReference w:type="default" r:id="rId7"/>
      <w:footerReference w:type="default" r:id="rId8"/>
      <w:pgSz w:w="11906" w:h="16838" w:orient="portrait"/>
      <w:pgMar w:top="1300" w:right="1200" w:bottom="1200" w:left="1200" w:header="720" w:footer="6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— </w:t>
    </w:r>
    <w:r>
      <w:rPr>
        <w:rFonts w:ascii="Malgun Gothic" w:cs="Malgun Gothic" w:eastAsia="맑은 고딕" w:hAnsi="Malgun Gothic"/>
        <w:color w:val="7676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2" w:space="4"/>
      </w:pBdr>
      <w:spacing w:after="0" w:before="0"/>
      <w:jc w:val="right"/>
    </w:pP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미지의 경매장 · 팀원 역할 기술서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40"/>
      </w:pPr>
      <w:rPr>
        <w:rFonts w:ascii="Malgun Gothic" w:cs="Malgun Gothic" w:eastAsia="맑은 고딕" w:hAnsi="Malgun Gothic"/>
        <w:color w:val="2F5496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600" w:hanging="240"/>
      </w:pPr>
      <w:rPr>
        <w:rFonts w:ascii="Malgun Gothic" w:cs="Malgun Gothic" w:eastAsia="맑은 고딕" w:hAnsi="Malgun Gothic"/>
        <w:color w:val="767676"/>
        <w:sz w:val="21"/>
        <w:szCs w:val="21"/>
      </w:rPr>
    </w:lvl>
    <w:lvl w:ilvl="2" w15:tentative="1">
      <w:start w:val="1"/>
      <w:numFmt w:val="bullet"/>
      <w:lvlText w:val="·"/>
      <w:lvlJc w:val="left"/>
      <w:pPr>
        <w:ind w:left="900" w:hanging="240"/>
      </w:pPr>
      <w:rPr>
        <w:rFonts w:ascii="Malgun Gothic" w:cs="Malgun Gothic" w:eastAsia="맑은 고딕" w:hAnsi="Malgun Gothic"/>
        <w:color w:val="767676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1A1A1A"/>
        <w:sz w:val="21"/>
        <w:szCs w:val="21"/>
      </w:rPr>
    </w:rPrDefault>
    <w:pPrDefault>
      <w:pPr>
        <w:spacing w:after="140" w:before="0" w:line="33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9D9D9" w:sz="4" w:space="6"/>
      </w:pBdr>
      <w:spacing w:after="160" w:before="400" w:line="300" w:lineRule="auto"/>
      <w:outlineLvl w:val="0"/>
    </w:pPr>
    <w:rPr>
      <w:rFonts w:ascii="Malgun Gothic" w:cs="Malgun Gothic" w:eastAsia="맑은 고딕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80" w:line="300" w:lineRule="auto"/>
      <w:outlineLvl w:val="1"/>
    </w:pPr>
    <w:rPr>
      <w:rFonts w:ascii="Malgun Gothic" w:cs="Malgun Gothic" w:eastAsia="맑은 고딕" w:hAnsi="Malgun Gothic"/>
      <w:b/>
      <w:bCs/>
      <w:color w:val="2F5496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220" w:line="300" w:lineRule="auto"/>
      <w:outlineLvl w:val="2"/>
    </w:pPr>
    <w:rPr>
      <w:rFonts w:ascii="Malgun Gothic" w:cs="Malgun Gothic" w:eastAsia="맑은 고딕" w:hAnsi="Malgun Gothic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미지의 경매장 — 팀원 역할 기술서</dc:title>
  <dc:creator>NAN 2026 Team Project</dc:creator>
  <dc:description>기획·콘텐츠, 화면·비주얼, 엔진·검증을 나누고 공통 데이터 계약으로 결합한다</dc:description>
  <cp:lastModifiedBy>Un-named</cp:lastModifiedBy>
  <cp:revision>1</cp:revision>
  <dcterms:created xsi:type="dcterms:W3CDTF">2026-08-02T16:10:44.031Z</dcterms:created>
  <dcterms:modified xsi:type="dcterms:W3CDTF">2026-08-02T16:10:44.031Z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