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基于</w:t>
      </w:r>
      <w:r>
        <w:rPr>
          <w:rFonts w:eastAsia="等线" w:ascii="Arial" w:cs="Arial" w:hAnsi="Arial"/>
          <w:b w:val="true"/>
          <w:sz w:val="52"/>
        </w:rPr>
        <w:t>机器学习</w:t>
      </w:r>
      <w:r>
        <w:rPr>
          <w:rFonts w:eastAsia="等线" w:ascii="Arial" w:cs="Arial" w:hAnsi="Arial"/>
          <w:b w:val="true"/>
          <w:sz w:val="52"/>
        </w:rPr>
        <w:t>的开源项目生存状态预测技术研究和基准数据集构建</w:t>
      </w:r>
    </w:p>
    <w:p>
      <w:pPr>
        <w:pStyle w:val="1"/>
        <w:spacing w:before="380" w:after="140" w:line="288" w:lineRule="auto"/>
        <w:ind w:left="0"/>
        <w:jc w:val="left"/>
        <w:outlineLvl w:val="0"/>
      </w:pPr>
      <w:r>
        <w:rPr>
          <w:rFonts w:eastAsia="等线" w:ascii="Arial" w:cs="Arial" w:hAnsi="Arial"/>
          <w:b w:val="true"/>
          <w:sz w:val="36"/>
        </w:rPr>
        <w:t>1.</w:t>
      </w:r>
      <w:r>
        <w:rPr>
          <w:rFonts w:eastAsia="等线" w:ascii="Arial" w:cs="Arial" w:hAnsi="Arial"/>
          <w:b w:val="true"/>
          <w:sz w:val="36"/>
        </w:rPr>
        <w:t xml:space="preserve"> </w:t>
      </w:r>
      <w:r>
        <w:rPr>
          <w:rFonts w:eastAsia="等线" w:ascii="Arial" w:cs="Arial" w:hAnsi="Arial"/>
          <w:b w:val="true"/>
          <w:sz w:val="36"/>
        </w:rPr>
        <w:t>研究背景与立项依据</w:t>
      </w:r>
    </w:p>
    <w:p>
      <w:pPr>
        <w:spacing w:before="120" w:after="120" w:line="288" w:lineRule="auto"/>
        <w:ind w:left="0" w:firstLine="0"/>
        <w:jc w:val="left"/>
      </w:pPr>
      <w:r>
        <w:rPr>
          <w:rFonts w:eastAsia="等线" w:ascii="Arial" w:cs="Arial" w:hAnsi="Arial"/>
          <w:sz w:val="22"/>
        </w:rPr>
        <w:t>开源软件</w:t>
      </w:r>
      <w:r>
        <w:rPr>
          <w:rFonts w:eastAsia="等线" w:ascii="Arial" w:cs="Arial" w:hAnsi="Arial"/>
          <w:sz w:val="22"/>
        </w:rPr>
        <w:t>是通过开放协作开发和维护的软件，通常免费提供给任何人使用、检查、修改和重新分发。这与专有或封闭</w:t>
      </w:r>
      <w:r>
        <w:rPr>
          <w:rFonts w:eastAsia="等线" w:ascii="Arial" w:cs="Arial" w:hAnsi="Arial"/>
          <w:sz w:val="22"/>
        </w:rPr>
        <w:t>源代码</w:t>
      </w:r>
      <w:r>
        <w:rPr>
          <w:rFonts w:eastAsia="等线" w:ascii="Arial" w:cs="Arial" w:hAnsi="Arial"/>
          <w:sz w:val="22"/>
        </w:rPr>
        <w:t>软件应用程序（如 Microsoft Word、 Adobe Illustrator）形成鲜明对比，这些应用程序由创作者或版权所有者出售给最终用户，除非版权所有者另有规定，否则不得进行编辑、增强或重新发布。“开源”一词还更广泛地指基于社区的方法，通过开放协作、包容性、透明度和频繁的公开更新来创建任何</w:t>
      </w:r>
      <w:r>
        <w:rPr>
          <w:rFonts w:eastAsia="等线" w:ascii="Arial" w:cs="Arial" w:hAnsi="Arial"/>
          <w:sz w:val="22"/>
        </w:rPr>
        <w:t>知识产权</w:t>
      </w:r>
      <w:r>
        <w:rPr>
          <w:rFonts w:eastAsia="等线" w:ascii="Arial" w:cs="Arial" w:hAnsi="Arial"/>
          <w:sz w:val="22"/>
        </w:rPr>
        <w:t>（如软件）。开源是一个最初指开源软件（</w:t>
      </w:r>
      <w:r>
        <w:rPr>
          <w:rFonts w:eastAsia="等线" w:ascii="Arial" w:cs="Arial" w:hAnsi="Arial"/>
          <w:sz w:val="22"/>
        </w:rPr>
        <w:t>OSS</w:t>
      </w:r>
      <w:r>
        <w:rPr>
          <w:rFonts w:eastAsia="等线" w:ascii="Arial" w:cs="Arial" w:hAnsi="Arial"/>
          <w:sz w:val="22"/>
        </w:rPr>
        <w:t xml:space="preserve">）的术语。开源软件是设计为任何人都可以看到、修改和分发他们认为合适的代码的公开访问的代码。开源软件是以分散和协作的方式开发的，依赖于同行评审和社区生产。开源软件通常比其专有软件更便宜、更灵活、寿命更长，因为它是由社区而不是单个作者或公司开发的。开源已经成为一种超越软件生产的运动和工作方式。开源运动利用开源软件的价值观和去中心化生产模式，寻找解决社区和行业问题的新方法。  </w:t>
      </w:r>
    </w:p>
    <w:p>
      <w:pPr>
        <w:spacing w:before="120" w:after="120" w:line="288" w:lineRule="auto"/>
        <w:ind w:left="0" w:firstLine="0"/>
        <w:jc w:val="left"/>
      </w:pPr>
      <w:r>
        <w:rPr>
          <w:rFonts w:eastAsia="等线" w:ascii="Arial" w:cs="Arial" w:hAnsi="Arial"/>
          <w:sz w:val="22"/>
        </w:rPr>
        <w:t xml:space="preserve">      </w:t>
      </w:r>
      <w:r>
        <w:rPr>
          <w:rFonts w:eastAsia="等线" w:ascii="Arial" w:cs="Arial" w:hAnsi="Arial"/>
          <w:sz w:val="22"/>
        </w:rPr>
        <w:t>开源软件</w:t>
      </w:r>
      <w:r>
        <w:rPr>
          <w:rFonts w:eastAsia="等线" w:ascii="Arial" w:cs="Arial" w:hAnsi="Arial"/>
          <w:sz w:val="22"/>
        </w:rPr>
        <w:t>虽然数量庞大，但是成功率不高，很多项目在一年内就放弃开发进入沉寂的状态。对于开源软件的用户、希望参与开源软件的开发者、希望投资开源软件的企业和基金组织而言，如何预判项目未来的持续活跃，或者预警可能的沉寂风险，就成为一个重要的问题。</w:t>
      </w:r>
      <w:r>
        <w:rPr>
          <w:rFonts w:eastAsia="等线" w:ascii="Arial" w:cs="Arial" w:hAnsi="Arial"/>
          <w:sz w:val="22"/>
        </w:rPr>
        <w:t>普通用户会更希望加入成功概率高、组织较为规范的项目，而不是在无序的项目中浪费时间。与此同时，企业和基金组织也会希望通过一定的科学评估方法来判断项目的投资潜力，从而对比较有前景的项目进行持续投入。而作为项目的管理者，通过一定的方法持续监控项目的状态也是非常有必要的。</w:t>
      </w:r>
    </w:p>
    <w:p>
      <w:pPr>
        <w:spacing w:before="120" w:after="120" w:line="288" w:lineRule="auto"/>
        <w:ind w:left="0"/>
        <w:jc w:val="left"/>
      </w:pPr>
      <w:r>
        <w:rPr>
          <w:rFonts w:eastAsia="等线" w:ascii="Arial" w:cs="Arial" w:hAnsi="Arial"/>
          <w:sz w:val="22"/>
        </w:rPr>
        <w:t xml:space="preserve">      目前，基于各类指标和</w:t>
      </w:r>
      <w:r>
        <w:rPr>
          <w:rFonts w:eastAsia="等线" w:ascii="Arial" w:cs="Arial" w:hAnsi="Arial"/>
          <w:sz w:val="22"/>
        </w:rPr>
        <w:t>机器学习</w:t>
      </w:r>
      <w:r>
        <w:rPr>
          <w:rFonts w:eastAsia="等线" w:ascii="Arial" w:cs="Arial" w:hAnsi="Arial"/>
          <w:sz w:val="22"/>
        </w:rPr>
        <w:t>算法的</w:t>
      </w:r>
      <w:r>
        <w:rPr>
          <w:rFonts w:eastAsia="等线" w:ascii="Arial" w:cs="Arial" w:hAnsi="Arial"/>
          <w:sz w:val="22"/>
        </w:rPr>
        <w:t>开源软件</w:t>
      </w:r>
      <w:r>
        <w:rPr>
          <w:rFonts w:eastAsia="等线" w:ascii="Arial" w:cs="Arial" w:hAnsi="Arial"/>
          <w:sz w:val="22"/>
        </w:rPr>
        <w:t>项目活跃度预测，展现出了一定的</w:t>
      </w:r>
      <w:r>
        <w:rPr>
          <w:rFonts w:eastAsia="等线" w:ascii="Arial" w:cs="Arial" w:hAnsi="Arial"/>
          <w:sz w:val="22"/>
        </w:rPr>
        <w:t>有效性，有望给用户选择健康的项目提出有效建议。一些学者通过</w:t>
      </w:r>
      <w:r>
        <w:rPr>
          <w:rFonts w:eastAsia="等线" w:ascii="Arial" w:cs="Arial" w:hAnsi="Arial"/>
          <w:sz w:val="22"/>
        </w:rPr>
        <w:t>生存</w:t>
      </w:r>
      <w:r>
        <w:rPr>
          <w:rFonts w:eastAsia="等线" w:ascii="Arial" w:cs="Arial" w:hAnsi="Arial"/>
          <w:sz w:val="22"/>
        </w:rPr>
        <w:t>模型[2]对项目的活跃度/成败概率进行建模和预测，一些学者[10]通过对用户的“turn over”建模来进行</w:t>
      </w:r>
      <w:r>
        <w:rPr>
          <w:rFonts w:eastAsia="等线" w:ascii="Arial" w:cs="Arial" w:hAnsi="Arial"/>
          <w:sz w:val="22"/>
        </w:rPr>
        <w:t>生存</w:t>
      </w:r>
      <w:r>
        <w:rPr>
          <w:rFonts w:eastAsia="等线" w:ascii="Arial" w:cs="Arial" w:hAnsi="Arial"/>
          <w:sz w:val="22"/>
        </w:rPr>
        <w:t>预测</w:t>
      </w:r>
      <w:r>
        <w:rPr>
          <w:rFonts w:eastAsia="等线" w:ascii="Arial" w:cs="Arial" w:hAnsi="Arial"/>
          <w:sz w:val="22"/>
        </w:rPr>
        <w:t>，也有相关工作探讨了使用机器学习模型来对项目的未来活跃程度进行预测的方法[</w:t>
      </w:r>
      <w:r>
        <w:rPr>
          <w:rFonts w:eastAsia="等线" w:ascii="Arial" w:cs="Arial" w:hAnsi="Arial"/>
          <w:sz w:val="22"/>
        </w:rPr>
        <w:t>14,15</w:t>
      </w:r>
      <w:r>
        <w:rPr>
          <w:rFonts w:eastAsia="等线" w:ascii="Arial" w:cs="Arial" w:hAnsi="Arial"/>
          <w:sz w:val="22"/>
        </w:rPr>
        <w:t>]</w:t>
      </w:r>
      <w:r>
        <w:rPr>
          <w:rFonts w:eastAsia="等线" w:ascii="Arial" w:cs="Arial" w:hAnsi="Arial"/>
          <w:sz w:val="22"/>
        </w:rPr>
        <w:t>。</w:t>
      </w:r>
      <w:r>
        <w:rPr>
          <w:rFonts w:eastAsia="等线" w:ascii="Arial" w:cs="Arial" w:hAnsi="Arial"/>
          <w:sz w:val="22"/>
        </w:rPr>
        <w:t>正如相关工作中所总结的，</w:t>
      </w:r>
      <w:r>
        <w:rPr>
          <w:rFonts w:eastAsia="等线" w:ascii="Arial" w:cs="Arial" w:hAnsi="Arial"/>
          <w:sz w:val="22"/>
        </w:rPr>
        <w:t>现有工作提供了一系列不同的指标、预测方法，并且基于不同的数据集</w:t>
      </w:r>
      <w:r>
        <w:rPr>
          <w:rFonts w:eastAsia="等线" w:ascii="Arial" w:cs="Arial" w:hAnsi="Arial"/>
          <w:sz w:val="22"/>
        </w:rPr>
        <w:t>开展了研究并</w:t>
      </w:r>
      <w:r>
        <w:rPr>
          <w:rFonts w:eastAsia="等线" w:ascii="Arial" w:cs="Arial" w:hAnsi="Arial"/>
          <w:sz w:val="22"/>
        </w:rPr>
        <w:t>取得了良好的测试结果</w:t>
      </w:r>
      <w:r>
        <w:rPr>
          <w:rFonts w:eastAsia="等线" w:ascii="Arial" w:cs="Arial" w:hAnsi="Arial"/>
          <w:sz w:val="22"/>
        </w:rPr>
        <w:t>。</w:t>
      </w:r>
      <w:r>
        <w:rPr>
          <w:rFonts w:eastAsia="等线" w:ascii="Arial" w:cs="Arial" w:hAnsi="Arial"/>
          <w:sz w:val="22"/>
        </w:rPr>
        <w:t>但是难以相互之间进行有效对比。</w:t>
      </w:r>
    </w:p>
    <w:p>
      <w:pPr>
        <w:spacing w:before="120" w:after="120" w:line="288" w:lineRule="auto"/>
        <w:ind w:left="0"/>
        <w:jc w:val="left"/>
      </w:pPr>
      <w:r>
        <w:rPr>
          <w:rFonts w:eastAsia="等线" w:ascii="Arial" w:cs="Arial" w:hAnsi="Arial"/>
          <w:sz w:val="22"/>
        </w:rPr>
        <w:t xml:space="preserve">      针对上述现状，本项目拟提供</w:t>
      </w:r>
      <w:r>
        <w:rPr>
          <w:rFonts w:eastAsia="等线" w:ascii="Arial" w:cs="Arial" w:hAnsi="Arial"/>
          <w:sz w:val="22"/>
        </w:rPr>
        <w:t>一个</w:t>
      </w:r>
      <w:r>
        <w:rPr>
          <w:rFonts w:eastAsia="等线" w:ascii="Arial" w:cs="Arial" w:hAnsi="Arial"/>
          <w:sz w:val="22"/>
        </w:rPr>
        <w:t>较大规模</w:t>
      </w:r>
      <w:r>
        <w:rPr>
          <w:rFonts w:eastAsia="等线" w:ascii="Arial" w:cs="Arial" w:hAnsi="Arial"/>
          <w:sz w:val="22"/>
        </w:rPr>
        <w:t>的</w:t>
      </w:r>
      <w:r>
        <w:rPr>
          <w:rFonts w:eastAsia="等线" w:ascii="Arial" w:cs="Arial" w:hAnsi="Arial"/>
          <w:sz w:val="22"/>
        </w:rPr>
        <w:t>基准测试</w:t>
      </w:r>
      <w:r>
        <w:rPr>
          <w:rFonts w:eastAsia="等线" w:ascii="Arial" w:cs="Arial" w:hAnsi="Arial"/>
          <w:sz w:val="22"/>
        </w:rPr>
        <w:t>集，其中包含</w:t>
      </w:r>
      <w:r>
        <w:rPr>
          <w:rFonts w:eastAsia="等线" w:ascii="Arial" w:cs="Arial" w:hAnsi="Arial"/>
          <w:sz w:val="22"/>
        </w:rPr>
        <w:t>开源项目健康和活跃相关的度量</w:t>
      </w:r>
      <w:r>
        <w:rPr>
          <w:rFonts w:eastAsia="等线" w:ascii="Arial" w:cs="Arial" w:hAnsi="Arial"/>
          <w:sz w:val="22"/>
        </w:rPr>
        <w:t>指标、</w:t>
      </w:r>
      <w:r>
        <w:rPr>
          <w:rFonts w:eastAsia="等线" w:ascii="Arial" w:cs="Arial" w:hAnsi="Arial"/>
          <w:sz w:val="22"/>
        </w:rPr>
        <w:t>多种项目健康和活跃</w:t>
      </w:r>
      <w:r>
        <w:rPr>
          <w:rFonts w:eastAsia="等线" w:ascii="Arial" w:cs="Arial" w:hAnsi="Arial"/>
          <w:sz w:val="22"/>
        </w:rPr>
        <w:t>预测</w:t>
      </w:r>
      <w:r>
        <w:rPr>
          <w:rFonts w:eastAsia="等线" w:ascii="Arial" w:cs="Arial" w:hAnsi="Arial"/>
          <w:sz w:val="22"/>
        </w:rPr>
        <w:t>基准</w:t>
      </w:r>
      <w:r>
        <w:rPr>
          <w:rFonts w:eastAsia="等线" w:ascii="Arial" w:cs="Arial" w:hAnsi="Arial"/>
          <w:sz w:val="22"/>
        </w:rPr>
        <w:t>方法、全面的评价指标以及大规模的数据集。</w:t>
      </w:r>
      <w:r>
        <w:rPr>
          <w:rFonts w:eastAsia="等线" w:ascii="Arial" w:cs="Arial" w:hAnsi="Arial"/>
          <w:sz w:val="22"/>
        </w:rPr>
        <w:t>为通过量化的、面向开源社区的度量指标，基于</w:t>
      </w:r>
      <w:r>
        <w:rPr>
          <w:rFonts w:eastAsia="等线" w:ascii="Arial" w:cs="Arial" w:hAnsi="Arial"/>
          <w:sz w:val="22"/>
        </w:rPr>
        <w:t>机器学习</w:t>
      </w:r>
      <w:r>
        <w:rPr>
          <w:rFonts w:eastAsia="等线" w:ascii="Arial" w:cs="Arial" w:hAnsi="Arial"/>
          <w:sz w:val="22"/>
        </w:rPr>
        <w:t>和人工智能方法预测项目的活跃和成败提供支持。</w:t>
      </w:r>
    </w:p>
    <w:p>
      <w:pPr>
        <w:pStyle w:val="1"/>
        <w:spacing w:before="380" w:after="140" w:line="288" w:lineRule="auto"/>
        <w:ind w:left="0"/>
        <w:jc w:val="left"/>
        <w:outlineLvl w:val="0"/>
      </w:pPr>
      <w:r>
        <w:rPr>
          <w:rFonts w:eastAsia="等线" w:ascii="Arial" w:cs="Arial" w:hAnsi="Arial"/>
          <w:b w:val="true"/>
          <w:sz w:val="36"/>
        </w:rPr>
        <w:t>2.</w:t>
      </w:r>
      <w:r>
        <w:rPr>
          <w:rFonts w:eastAsia="等线" w:ascii="Arial" w:cs="Arial" w:hAnsi="Arial"/>
          <w:b w:val="true"/>
          <w:sz w:val="36"/>
        </w:rPr>
        <w:t xml:space="preserve"> </w:t>
      </w:r>
      <w:r>
        <w:rPr>
          <w:rFonts w:eastAsia="等线" w:ascii="Arial" w:cs="Arial" w:hAnsi="Arial"/>
          <w:b w:val="true"/>
          <w:sz w:val="36"/>
        </w:rPr>
        <w:t>相关工作</w:t>
      </w:r>
    </w:p>
    <w:p>
      <w:pPr>
        <w:spacing w:before="120" w:after="120" w:line="288" w:lineRule="auto"/>
        <w:ind w:left="0"/>
        <w:jc w:val="left"/>
      </w:pPr>
      <w:r>
        <w:rPr>
          <w:rFonts w:eastAsia="等线" w:ascii="Arial" w:cs="Arial" w:hAnsi="Arial"/>
          <w:sz w:val="22"/>
        </w:rPr>
        <w:t>围绕开源项目及其社区的生存度量和分析，现有工作开展了丰富的研究。</w:t>
      </w:r>
    </w:p>
    <w:p>
      <w:pPr>
        <w:pStyle w:val="2"/>
        <w:spacing w:before="320" w:after="120" w:line="288" w:lineRule="auto"/>
        <w:ind w:left="0"/>
        <w:jc w:val="left"/>
        <w:outlineLvl w:val="1"/>
      </w:pPr>
      <w:r>
        <w:rPr>
          <w:rFonts w:eastAsia="等线" w:ascii="Arial" w:cs="Arial" w:hAnsi="Arial"/>
          <w:b w:val="true"/>
          <w:sz w:val="32"/>
        </w:rPr>
        <w:t xml:space="preserve">2.1. </w:t>
      </w:r>
      <w:r>
        <w:rPr>
          <w:rFonts w:eastAsia="等线" w:ascii="Arial" w:cs="Arial" w:hAnsi="Arial"/>
          <w:b w:val="true"/>
          <w:sz w:val="32"/>
        </w:rPr>
        <w:t>开源软件</w:t>
      </w:r>
      <w:r>
        <w:rPr>
          <w:rFonts w:eastAsia="等线" w:ascii="Arial" w:cs="Arial" w:hAnsi="Arial"/>
          <w:b w:val="true"/>
          <w:sz w:val="32"/>
        </w:rPr>
        <w:t>社区健康度量</w:t>
      </w:r>
    </w:p>
    <w:p>
      <w:pPr>
        <w:spacing w:before="120" w:after="120" w:line="288" w:lineRule="auto"/>
        <w:ind w:left="0" w:firstLine="0"/>
        <w:jc w:val="left"/>
      </w:pPr>
      <w:r>
        <w:rPr>
          <w:rFonts w:eastAsia="等线" w:ascii="Arial" w:cs="Arial" w:hAnsi="Arial"/>
          <w:sz w:val="22"/>
        </w:rPr>
        <w:t>在[6]中， Linåker 等人使用滚雪球式的方法开展文献调研（snowballing），总结了描述</w:t>
      </w:r>
      <w:r>
        <w:rPr>
          <w:rFonts w:eastAsia="等线" w:ascii="Arial" w:cs="Arial" w:hAnsi="Arial"/>
          <w:sz w:val="22"/>
        </w:rPr>
        <w:t>开源软件</w:t>
      </w:r>
      <w:r>
        <w:rPr>
          <w:rFonts w:eastAsia="等线" w:ascii="Arial" w:cs="Arial" w:hAnsi="Arial"/>
          <w:sz w:val="22"/>
        </w:rPr>
        <w:t>项目健康的特征，他们给出的评估总结包括 15 个主题的 107 个特征，主要包括以下几类特征:（1）以人为核心的特征（2）以软件为核心的特征（3）以协调为核心的特征。这篇工作包括与总结了当前主流的有关开源软件项目健康的内容。但是，该文的总结仅仅是对现有工作进行分类和介绍，没有对该领域给出结论性和指导性的意见。</w:t>
      </w:r>
    </w:p>
    <w:p>
      <w:pPr>
        <w:spacing w:before="120" w:after="120" w:line="288" w:lineRule="auto"/>
        <w:ind w:left="0"/>
        <w:jc w:val="left"/>
      </w:pPr>
      <w:r>
        <w:rPr>
          <w:rFonts w:eastAsia="等线" w:ascii="Arial" w:cs="Arial" w:hAnsi="Arial"/>
          <w:sz w:val="22"/>
        </w:rPr>
        <w:t xml:space="preserve">      </w:t>
      </w:r>
      <w:r>
        <w:rPr>
          <w:rFonts w:eastAsia="等线" w:ascii="Arial" w:cs="Arial" w:hAnsi="Arial"/>
          <w:sz w:val="22"/>
        </w:rPr>
        <w:t>在[7]中， Yousef 等人给出了有关软件</w:t>
      </w:r>
      <w:r>
        <w:rPr>
          <w:rFonts w:eastAsia="等线" w:ascii="Arial" w:cs="Arial" w:hAnsi="Arial"/>
          <w:sz w:val="22"/>
        </w:rPr>
        <w:t>生态系统</w:t>
      </w:r>
      <w:r>
        <w:rPr>
          <w:rFonts w:eastAsia="等线" w:ascii="Arial" w:cs="Arial" w:hAnsi="Arial"/>
          <w:sz w:val="22"/>
        </w:rPr>
        <w:t xml:space="preserve">健康度量和方法的分类与总结，给出了有关软件生态系统健康的 7 种不同的定义， 142 个度量值和 174 种不同的度量方法。该综述中给出了三个维度的分类，包括： 利基创造力（niche creation）、 生产力（productivity）和稳健性（robustness），并详细阐述了这三类分类中包括的具体度量指标和方法。类似地，在[11]中， Alves 等学者针对软件生态系统中的治理机制及其健康这一主题开展了系统性的文献综述。通过对其所调研的相关文献进行梳理和提炼， Alves 等总结一个软件生态系统的健康可以由一个生态系统持续产出有意义产品的能力（即，生产力）、能够在市场波动中存活下来（即，稳健性）、在生态系统中产生创新（即，利基创造力）这三个方面决定。围绕这三个方面， Alves 等分类梳理了共 52 个具体的度量软件生态系统健康的指标，形成了相应的指标体系。 </w:t>
      </w:r>
    </w:p>
    <w:p>
      <w:pPr>
        <w:spacing w:before="120" w:after="120" w:line="288" w:lineRule="auto"/>
        <w:ind w:left="0"/>
        <w:jc w:val="left"/>
      </w:pPr>
      <w:r>
        <w:rPr>
          <w:rFonts w:eastAsia="等线" w:ascii="Arial" w:cs="Arial" w:hAnsi="Arial"/>
          <w:sz w:val="22"/>
        </w:rPr>
        <w:t xml:space="preserve">      </w:t>
      </w:r>
      <w:r>
        <w:rPr>
          <w:rFonts w:eastAsia="等线" w:ascii="Arial" w:cs="Arial" w:hAnsi="Arial"/>
          <w:sz w:val="22"/>
        </w:rPr>
        <w:t>在[8]中，Van 等人以软件</w:t>
      </w:r>
      <w:r>
        <w:rPr>
          <w:rFonts w:eastAsia="等线" w:ascii="Arial" w:cs="Arial" w:hAnsi="Arial"/>
          <w:sz w:val="22"/>
        </w:rPr>
        <w:t>生态系统</w:t>
      </w:r>
      <w:r>
        <w:rPr>
          <w:rFonts w:eastAsia="等线" w:ascii="Arial" w:cs="Arial" w:hAnsi="Arial"/>
          <w:sz w:val="22"/>
        </w:rPr>
        <w:t>的可持续性评估为主题，调研和总结了当前领域的主要成果。本文主要通过问卷和调查的方式完成对如下问题的回答：（1）可持续性是如何影响软件生态系统的？（2）当前有哪些方法可以用于分析软件生态系统的可持续性？它们有什么缺陷？（3）软件生态系统工业界和学术界是如何看待软件生态系统的可持续性？（4）软件生态系统的可持续性话题主要有哪些？（5）软件生态系统的可持续性分析方法在学术界和工业界的应用的阻碍在哪里？最终得出的结论为，软件生态系统的可持续性作为一个新概念，还未在业界广泛使用和评估，但是调研的结果表示，其潜在价值值得引起重视。</w:t>
      </w:r>
    </w:p>
    <w:p>
      <w:pPr>
        <w:spacing w:before="120" w:after="120" w:line="288" w:lineRule="auto"/>
        <w:ind w:left="0"/>
        <w:jc w:val="left"/>
      </w:pPr>
      <w:r>
        <w:rPr>
          <w:rFonts w:eastAsia="等线" w:ascii="Arial" w:cs="Arial" w:hAnsi="Arial"/>
          <w:sz w:val="22"/>
        </w:rPr>
        <w:t xml:space="preserve">      </w:t>
      </w:r>
      <w:r>
        <w:rPr>
          <w:rFonts w:eastAsia="等线" w:ascii="Arial" w:cs="Arial" w:hAnsi="Arial"/>
          <w:sz w:val="22"/>
        </w:rPr>
        <w:t>在[9]中， Sean 等人讨论了有关开源社区健康的分析度量指标以及它们具体的操作定义，总结了度量开源社区的成功度、 可持续性、 风险、 健康四个主题的指标。该文同时给出了在CHAOSS 社区中这些有关开源社区健康的指标是如何计算和展示的，可以发现该类指标可以很好地展示开源社区的健康程度。</w:t>
        <w:br/>
      </w:r>
      <w:r>
        <w:rPr>
          <w:rFonts w:eastAsia="等线" w:ascii="Arial" w:cs="Arial" w:hAnsi="Arial"/>
          <w:sz w:val="22"/>
        </w:rPr>
        <w:t xml:space="preserve">      </w:t>
      </w:r>
      <w:r>
        <w:rPr>
          <w:rFonts w:eastAsia="等线" w:ascii="Arial" w:cs="Arial" w:hAnsi="Arial"/>
          <w:sz w:val="22"/>
        </w:rPr>
        <w:t>在[10]中， Liao 等人也对开源</w:t>
      </w:r>
      <w:r>
        <w:rPr>
          <w:rFonts w:eastAsia="等线" w:ascii="Arial" w:cs="Arial" w:hAnsi="Arial"/>
          <w:sz w:val="22"/>
        </w:rPr>
        <w:t>生态系统</w:t>
      </w:r>
      <w:r>
        <w:rPr>
          <w:rFonts w:eastAsia="等线" w:ascii="Arial" w:cs="Arial" w:hAnsi="Arial"/>
          <w:sz w:val="22"/>
        </w:rPr>
        <w:t>的可持续性评估模型和方法给出综述。该文总结评估系统为三个层面： 目标层面、 指导层面和评估层面；同时将评估指标分为以下几个类别： 开放性、 稳定性、 活跃性和可拓展性。在已有的度量指标和系统的基础上，该文提出了结合以上所有内容的加权计算评估方式。</w:t>
        <w:br/>
      </w:r>
      <w:r>
        <w:rPr>
          <w:rFonts w:eastAsia="等线" w:ascii="Arial" w:cs="Arial" w:hAnsi="Arial"/>
          <w:sz w:val="22"/>
        </w:rPr>
        <w:t xml:space="preserve">      </w:t>
      </w:r>
      <w:r>
        <w:rPr>
          <w:rFonts w:eastAsia="等线" w:ascii="Arial" w:cs="Arial" w:hAnsi="Arial"/>
          <w:sz w:val="22"/>
        </w:rPr>
        <w:t>在[12-13]中， Manikas 与 Hansen 针对软件生态系统的健康，对相关工作进行了综述并提出了一个概念框架。该概念框架参照[13]将软件生态系统的健康指标分类为人（actors）、软件（software）和调度协（orchestration）三个侧面。</w:t>
      </w:r>
    </w:p>
    <w:p>
      <w:pPr>
        <w:spacing w:before="120" w:after="120" w:line="288" w:lineRule="auto"/>
        <w:ind w:left="0"/>
        <w:jc w:val="left"/>
      </w:pPr>
      <w:r>
        <w:rPr>
          <w:rFonts w:eastAsia="等线" w:ascii="Arial" w:cs="Arial" w:hAnsi="Arial"/>
          <w:sz w:val="22"/>
        </w:rPr>
        <w:t xml:space="preserve">      通过对现有工作进行总结，我们发现现有研究工作为我们度量</w:t>
      </w:r>
      <w:r>
        <w:rPr>
          <w:rFonts w:eastAsia="等线" w:ascii="Arial" w:cs="Arial" w:hAnsi="Arial"/>
          <w:sz w:val="22"/>
        </w:rPr>
        <w:t>开源软件</w:t>
      </w:r>
      <w:r>
        <w:rPr>
          <w:rFonts w:eastAsia="等线" w:ascii="Arial" w:cs="Arial" w:hAnsi="Arial"/>
          <w:sz w:val="22"/>
        </w:rPr>
        <w:t>及其社区的健康提供了丰富的指标体系，为我们进一步开展基于</w:t>
      </w:r>
      <w:r>
        <w:rPr>
          <w:rFonts w:eastAsia="等线" w:ascii="Arial" w:cs="Arial" w:hAnsi="Arial"/>
          <w:sz w:val="22"/>
        </w:rPr>
        <w:t>机器学习</w:t>
      </w:r>
      <w:r>
        <w:rPr>
          <w:rFonts w:eastAsia="等线" w:ascii="Arial" w:cs="Arial" w:hAnsi="Arial"/>
          <w:sz w:val="22"/>
        </w:rPr>
        <w:t>的开源项目生存状态预测提供了依据。但同时我们发现，许多相关研究仍停留在指标设计和小规模测试的阶段，目前尚缺乏一套具有较大规模的基准数据集可供使用，需要我们开展工作。</w:t>
      </w:r>
    </w:p>
    <w:p>
      <w:pPr>
        <w:pStyle w:val="2"/>
        <w:spacing w:before="320" w:after="120" w:line="288" w:lineRule="auto"/>
        <w:ind w:left="0"/>
        <w:jc w:val="left"/>
        <w:outlineLvl w:val="1"/>
      </w:pPr>
      <w:r>
        <w:rPr>
          <w:rFonts w:eastAsia="等线" w:ascii="Arial" w:cs="Arial" w:hAnsi="Arial"/>
          <w:b w:val="true"/>
          <w:sz w:val="32"/>
        </w:rPr>
        <w:t>2.2. 项目的活跃和生存预测</w:t>
      </w:r>
    </w:p>
    <w:p>
      <w:pPr>
        <w:spacing w:before="120" w:after="120" w:line="288" w:lineRule="auto"/>
        <w:ind w:left="0" w:firstLine="420"/>
        <w:jc w:val="left"/>
      </w:pPr>
      <w:r>
        <w:rPr>
          <w:rFonts w:eastAsia="等线" w:ascii="Arial" w:cs="Arial" w:hAnsi="Arial"/>
          <w:sz w:val="22"/>
        </w:rPr>
        <w:t>在研究开源社区项目survivalability的工作中，常见的数据切分方法是认为”一旦没有任何修改，项目就会死亡“[2-5]。此外，也有人认为人认为一个项目如果一个月收到的修订少于两次，则该项目是不活跃的；两个月的不活动导致其被认为是被遗弃或死亡。</w:t>
      </w:r>
    </w:p>
    <w:p>
      <w:pPr>
        <w:spacing w:before="120" w:after="120" w:line="288" w:lineRule="auto"/>
        <w:ind w:left="0" w:firstLine="420"/>
        <w:jc w:val="left"/>
      </w:pPr>
      <w:r>
        <w:rPr>
          <w:rFonts w:eastAsia="等线" w:ascii="Arial" w:cs="Arial" w:hAnsi="Arial"/>
          <w:sz w:val="22"/>
        </w:rPr>
        <w:t>对于项目的活跃和生存预测，目前的主要研究方法有基于</w:t>
      </w:r>
      <w:r>
        <w:rPr>
          <w:rFonts w:eastAsia="等线" w:ascii="Arial" w:cs="Arial" w:hAnsi="Arial"/>
          <w:sz w:val="22"/>
        </w:rPr>
        <w:t>回归分析</w:t>
      </w:r>
      <w:r>
        <w:rPr>
          <w:rFonts w:eastAsia="等线" w:ascii="Arial" w:cs="Arial" w:hAnsi="Arial"/>
          <w:sz w:val="22"/>
        </w:rPr>
        <w:t>的方法进行预测、基于</w:t>
      </w:r>
      <w:r>
        <w:rPr>
          <w:rFonts w:eastAsia="等线" w:ascii="Arial" w:cs="Arial" w:hAnsi="Arial"/>
          <w:sz w:val="22"/>
        </w:rPr>
        <w:t>生存分析</w:t>
      </w:r>
      <w:r>
        <w:rPr>
          <w:rFonts w:eastAsia="等线" w:ascii="Arial" w:cs="Arial" w:hAnsi="Arial"/>
          <w:sz w:val="22"/>
        </w:rPr>
        <w:t>的方法进行预测和基于</w:t>
      </w:r>
      <w:r>
        <w:rPr>
          <w:rFonts w:eastAsia="等线" w:ascii="Arial" w:cs="Arial" w:hAnsi="Arial"/>
          <w:sz w:val="22"/>
        </w:rPr>
        <w:t>机器学习</w:t>
      </w:r>
      <w:r>
        <w:rPr>
          <w:rFonts w:eastAsia="等线" w:ascii="Arial" w:cs="Arial" w:hAnsi="Arial"/>
          <w:sz w:val="22"/>
        </w:rPr>
        <w:t>方法进行预测。Raja[18]提出了一个</w:t>
      </w:r>
      <w:r>
        <w:rPr>
          <w:rFonts w:eastAsia="等线" w:ascii="Arial" w:cs="Arial" w:hAnsi="Arial"/>
          <w:sz w:val="22"/>
        </w:rPr>
        <w:t>VI</w:t>
      </w:r>
      <w:r>
        <w:rPr>
          <w:rFonts w:eastAsia="等线" w:ascii="Arial" w:cs="Arial" w:hAnsi="Arial"/>
          <w:sz w:val="22"/>
        </w:rPr>
        <w:t>指标来分析项目的幸存概率，他认为项目生存能力有三个维度：活力、韧性和组织，并定义了这些维度中的每一个维度，并制定了一个名为生存能力指数( VI )的指数来组合所有的三个维度。还有一些学者[2-5]借鉴医学中的生存分析方法对项目的生存概率进行预测分析，并通过</w:t>
      </w:r>
      <w:r>
        <w:rPr>
          <w:rFonts w:eastAsia="等线" w:ascii="Arial" w:cs="Arial" w:hAnsi="Arial"/>
          <w:sz w:val="22"/>
        </w:rPr>
        <w:t>KM</w:t>
      </w:r>
      <w:r>
        <w:rPr>
          <w:rFonts w:eastAsia="等线" w:ascii="Arial" w:cs="Arial" w:hAnsi="Arial"/>
          <w:sz w:val="22"/>
        </w:rPr>
        <w:t>估计值来计算生存概率的具体值。此外，目前有很多研究[19]中将机器学习方法用于生存性分析，用于处理此类问题中的删失数据，并解决实际数据中出现的其他挑战性问题。</w:t>
      </w:r>
    </w:p>
    <w:p>
      <w:pPr>
        <w:spacing w:before="120" w:after="120" w:line="288" w:lineRule="auto"/>
        <w:ind w:left="0" w:firstLine="420"/>
        <w:jc w:val="left"/>
      </w:pPr>
      <w:r>
        <w:rPr>
          <w:rFonts w:eastAsia="等线" w:ascii="Arial" w:cs="Arial" w:hAnsi="Arial"/>
          <w:sz w:val="22"/>
        </w:rPr>
        <w:t>在这个问题中我们试图通过引入</w:t>
      </w:r>
      <w:r>
        <w:rPr>
          <w:rFonts w:eastAsia="等线" w:ascii="Arial" w:cs="Arial" w:hAnsi="Arial"/>
          <w:sz w:val="22"/>
        </w:rPr>
        <w:t>机器学习</w:t>
      </w:r>
      <w:r>
        <w:rPr>
          <w:rFonts w:eastAsia="等线" w:ascii="Arial" w:cs="Arial" w:hAnsi="Arial"/>
          <w:sz w:val="22"/>
        </w:rPr>
        <w:t>和时间序列分类预测技术进行项目生存状态预测。在生存性分析的机器学习方法[19]中，一方面他们并不特定针对开源社区项目的具体应用场景，另一方面他们主要针对生存性分析中的统计指标进行改进，与我们想要的预测功能存在一定差异。我们试图通过这个工作来填补使用机器学习方法进行项目生存预测的空白。</w:t>
      </w:r>
    </w:p>
    <w:p>
      <w:pPr>
        <w:pStyle w:val="2"/>
        <w:spacing w:before="320" w:after="120" w:line="288" w:lineRule="auto"/>
        <w:ind w:left="0"/>
        <w:jc w:val="left"/>
        <w:outlineLvl w:val="1"/>
      </w:pPr>
      <w:r>
        <w:rPr>
          <w:rFonts w:eastAsia="等线" w:ascii="Arial" w:cs="Arial" w:hAnsi="Arial"/>
          <w:b w:val="true"/>
          <w:sz w:val="32"/>
        </w:rPr>
        <w:t>2.3. 时间序列分类预测方法</w:t>
      </w:r>
    </w:p>
    <w:p>
      <w:pPr>
        <w:spacing w:before="120" w:after="120" w:line="288" w:lineRule="auto"/>
        <w:ind w:left="0" w:firstLine="420"/>
        <w:jc w:val="left"/>
      </w:pPr>
      <w:r>
        <w:rPr>
          <w:rFonts w:eastAsia="等线" w:ascii="Arial" w:cs="Arial" w:hAnsi="Arial"/>
          <w:sz w:val="22"/>
        </w:rPr>
        <w:t>上面描述了项目的活跃与生存预测，进一步讲，我们试图通过结合时间序列分类预测方法来实现这一目标。一般来讲，基于距离的时间序列分类[1]如下：</w:t>
      </w:r>
    </w:p>
    <w:p>
      <w:pPr>
        <w:numPr>
          <w:numId w:val="1"/>
        </w:numPr>
        <w:spacing w:before="120" w:after="120" w:line="288" w:lineRule="auto"/>
        <w:ind w:left="0"/>
        <w:jc w:val="left"/>
      </w:pPr>
      <w:r>
        <w:rPr>
          <w:rFonts w:eastAsia="等线" w:ascii="Arial" w:cs="Arial" w:hAnsi="Arial"/>
          <w:sz w:val="22"/>
        </w:rPr>
        <w:t>基于特征的：在基于特征的分类方法中，时间序列被转化为</w:t>
      </w:r>
      <w:r>
        <w:rPr>
          <w:rFonts w:eastAsia="等线" w:ascii="Arial" w:cs="Arial" w:hAnsi="Arial"/>
          <w:sz w:val="22"/>
        </w:rPr>
        <w:t>特征向量</w:t>
      </w:r>
      <w:r>
        <w:rPr>
          <w:rFonts w:eastAsia="等线" w:ascii="Arial" w:cs="Arial" w:hAnsi="Arial"/>
          <w:sz w:val="22"/>
        </w:rPr>
        <w:t>，然后通过传统的</w:t>
      </w:r>
      <w:r>
        <w:rPr>
          <w:rFonts w:eastAsia="等线" w:ascii="Arial" w:cs="Arial" w:hAnsi="Arial"/>
          <w:sz w:val="22"/>
        </w:rPr>
        <w:t>分类器</w:t>
      </w:r>
      <w:r>
        <w:rPr>
          <w:rFonts w:eastAsia="等线" w:ascii="Arial" w:cs="Arial" w:hAnsi="Arial"/>
          <w:sz w:val="22"/>
        </w:rPr>
        <w:t>如</w:t>
      </w:r>
      <w:r>
        <w:rPr>
          <w:rFonts w:eastAsia="等线" w:ascii="Arial" w:cs="Arial" w:hAnsi="Arial"/>
          <w:sz w:val="22"/>
        </w:rPr>
        <w:t>神经网络</w:t>
      </w:r>
      <w:r>
        <w:rPr>
          <w:rFonts w:eastAsia="等线" w:ascii="Arial" w:cs="Arial" w:hAnsi="Arial"/>
          <w:sz w:val="22"/>
        </w:rPr>
        <w:t>或</w:t>
      </w:r>
      <w:r>
        <w:rPr>
          <w:rFonts w:eastAsia="等线" w:ascii="Arial" w:cs="Arial" w:hAnsi="Arial"/>
          <w:sz w:val="22"/>
        </w:rPr>
        <w:t>决策树</w:t>
      </w:r>
      <w:r>
        <w:rPr>
          <w:rFonts w:eastAsia="等线" w:ascii="Arial" w:cs="Arial" w:hAnsi="Arial"/>
          <w:sz w:val="22"/>
        </w:rPr>
        <w:t>进行分类。一些用于特征提取的方法包括谱方法，如离散</w:t>
      </w:r>
      <w:r>
        <w:rPr>
          <w:rFonts w:eastAsia="等线" w:ascii="Arial" w:cs="Arial" w:hAnsi="Arial"/>
          <w:sz w:val="22"/>
        </w:rPr>
        <w:t>傅里叶变换</w:t>
      </w:r>
      <w:r>
        <w:rPr>
          <w:rFonts w:eastAsia="等线" w:ascii="Arial" w:cs="Arial" w:hAnsi="Arial"/>
          <w:sz w:val="22"/>
        </w:rPr>
        <w:t>( DFT )或离散</w:t>
      </w:r>
      <w:r>
        <w:rPr>
          <w:rFonts w:eastAsia="等线" w:ascii="Arial" w:cs="Arial" w:hAnsi="Arial"/>
          <w:sz w:val="22"/>
        </w:rPr>
        <w:t>小波变换</w:t>
      </w:r>
      <w:r>
        <w:rPr>
          <w:rFonts w:eastAsia="等线" w:ascii="Arial" w:cs="Arial" w:hAnsi="Arial"/>
          <w:sz w:val="22"/>
        </w:rPr>
        <w:t>( DWT )，考虑</w:t>
      </w:r>
      <w:r>
        <w:rPr>
          <w:rFonts w:eastAsia="等线" w:ascii="Arial" w:cs="Arial" w:hAnsi="Arial"/>
          <w:sz w:val="22"/>
        </w:rPr>
        <w:t>频域</w:t>
      </w:r>
      <w:r>
        <w:rPr>
          <w:rFonts w:eastAsia="等线" w:ascii="Arial" w:cs="Arial" w:hAnsi="Arial"/>
          <w:sz w:val="22"/>
        </w:rPr>
        <w:t>特征的，或</w:t>
      </w:r>
      <w:r>
        <w:rPr>
          <w:rFonts w:eastAsia="等线" w:ascii="Arial" w:cs="Arial" w:hAnsi="Arial"/>
          <w:sz w:val="22"/>
        </w:rPr>
        <w:t>奇异值分解</w:t>
      </w:r>
      <w:r>
        <w:rPr>
          <w:rFonts w:eastAsia="等线" w:ascii="Arial" w:cs="Arial" w:hAnsi="Arial"/>
          <w:sz w:val="22"/>
        </w:rPr>
        <w:t xml:space="preserve">( </w:t>
      </w:r>
      <w:r>
        <w:rPr>
          <w:rFonts w:eastAsia="等线" w:ascii="Arial" w:cs="Arial" w:hAnsi="Arial"/>
          <w:sz w:val="22"/>
        </w:rPr>
        <w:t>SVD</w:t>
      </w:r>
      <w:r>
        <w:rPr>
          <w:rFonts w:eastAsia="等线" w:ascii="Arial" w:cs="Arial" w:hAnsi="Arial"/>
          <w:sz w:val="22"/>
        </w:rPr>
        <w:t xml:space="preserve"> )，奇异值分解( SVD )，进行特征值分析，以减少特征集的同时保留相关信息。</w:t>
      </w:r>
    </w:p>
    <w:p>
      <w:pPr>
        <w:numPr>
          <w:numId w:val="2"/>
        </w:numPr>
        <w:spacing w:before="120" w:after="120" w:line="288" w:lineRule="auto"/>
        <w:ind w:left="0"/>
        <w:jc w:val="left"/>
      </w:pPr>
      <w:r>
        <w:rPr>
          <w:rFonts w:eastAsia="等线" w:ascii="Arial" w:cs="Arial" w:hAnsi="Arial"/>
          <w:sz w:val="22"/>
        </w:rPr>
        <w:t>基于模型的：基于模型的分类假设一个类别中的所有时间序列都是由相同的底层模型生成的，从而将一个新的序列分配给最符合该模型的类别。一些基于模型的方法是利用</w:t>
      </w:r>
      <w:r>
        <w:rPr>
          <w:rFonts w:eastAsia="等线" w:ascii="Arial" w:cs="Arial" w:hAnsi="Arial"/>
          <w:sz w:val="22"/>
        </w:rPr>
        <w:t>自回归模型</w:t>
      </w:r>
      <w:r>
        <w:rPr>
          <w:rFonts w:eastAsia="等线" w:ascii="Arial" w:cs="Arial" w:hAnsi="Arial"/>
          <w:sz w:val="22"/>
        </w:rPr>
        <w:t>[20]或隐马尔可夫模型[21]等形成的。</w:t>
      </w:r>
    </w:p>
    <w:p>
      <w:pPr>
        <w:numPr>
          <w:numId w:val="3"/>
        </w:numPr>
        <w:spacing w:before="120" w:after="120" w:line="288" w:lineRule="auto"/>
        <w:ind w:left="0"/>
        <w:jc w:val="left"/>
      </w:pPr>
      <w:r>
        <w:rPr>
          <w:rFonts w:eastAsia="等线" w:ascii="Arial" w:cs="Arial" w:hAnsi="Arial"/>
          <w:sz w:val="22"/>
        </w:rPr>
        <w:t xml:space="preserve">基于距离的：基于距离的方法是定义序列之间的(或非)相似性度量，然后在基于距离的分类方法中，如k -最近邻分类器( </w:t>
      </w:r>
      <w:r>
        <w:rPr>
          <w:rFonts w:eastAsia="等线" w:ascii="Arial" w:cs="Arial" w:hAnsi="Arial"/>
          <w:sz w:val="22"/>
        </w:rPr>
        <w:t>k-NN</w:t>
      </w:r>
      <w:r>
        <w:rPr>
          <w:rFonts w:eastAsia="等线" w:ascii="Arial" w:cs="Arial" w:hAnsi="Arial"/>
          <w:sz w:val="22"/>
        </w:rPr>
        <w:t xml:space="preserve"> )或支持向量机( SVMs )中，以某种方式引入这些距离。</w:t>
      </w:r>
    </w:p>
    <w:p>
      <w:pPr>
        <w:spacing w:before="120" w:after="120" w:line="288" w:lineRule="auto"/>
        <w:ind w:left="0"/>
        <w:jc w:val="left"/>
      </w:pPr>
      <w:r>
        <w:rPr>
          <w:rFonts w:eastAsia="等线" w:ascii="Arial" w:cs="Arial" w:hAnsi="Arial"/>
          <w:sz w:val="22"/>
        </w:rPr>
        <w:t>由于基于模型的时间序列分类方法并不适用于本项目的应用场景，因此我们将基于模型的时间序列分类改为基于深度学习的相关方法进行预测。此外，在距离的预测方法中，我们选择通过shapelet模式挖掘来进行预测。</w:t>
      </w:r>
    </w:p>
    <w:p>
      <w:pPr>
        <w:spacing w:before="120" w:after="120" w:line="288" w:lineRule="auto"/>
        <w:ind w:left="0" w:firstLine="420"/>
        <w:jc w:val="left"/>
      </w:pPr>
      <w:r>
        <w:rPr>
          <w:rFonts w:eastAsia="等线" w:ascii="Arial" w:cs="Arial" w:hAnsi="Arial"/>
          <w:sz w:val="22"/>
        </w:rPr>
        <w:t>对于深度学习相关方法，目前已有很多种</w:t>
      </w:r>
      <w:r>
        <w:rPr>
          <w:rFonts w:eastAsia="等线" w:ascii="Arial" w:cs="Arial" w:hAnsi="Arial"/>
          <w:sz w:val="22"/>
        </w:rPr>
        <w:t>DNN</w:t>
      </w:r>
      <w:r>
        <w:rPr>
          <w:rFonts w:eastAsia="等线" w:ascii="Arial" w:cs="Arial" w:hAnsi="Arial"/>
          <w:sz w:val="22"/>
        </w:rPr>
        <w:t>，用于TSC任务的主要有三种：</w:t>
      </w:r>
    </w:p>
    <w:p>
      <w:pPr>
        <w:numPr>
          <w:numId w:val="4"/>
        </w:numPr>
        <w:spacing w:before="120" w:after="120" w:line="288" w:lineRule="auto"/>
        <w:ind w:left="0"/>
        <w:jc w:val="left"/>
      </w:pPr>
      <w:r>
        <w:rPr>
          <w:rFonts w:eastAsia="等线" w:ascii="Arial" w:cs="Arial" w:hAnsi="Arial"/>
          <w:sz w:val="22"/>
        </w:rPr>
        <w:t>多层感知器</w:t>
      </w:r>
      <w:r>
        <w:rPr>
          <w:rFonts w:eastAsia="等线" w:ascii="Arial" w:cs="Arial" w:hAnsi="Arial"/>
          <w:sz w:val="22"/>
        </w:rPr>
        <w:t>MLP</w:t>
      </w:r>
      <w:r>
        <w:rPr>
          <w:rFonts w:eastAsia="等线" w:ascii="Arial" w:cs="Arial" w:hAnsi="Arial"/>
          <w:sz w:val="22"/>
        </w:rPr>
        <w:t xml:space="preserve">：一个MLP构成了深度学习模型最简单、最传统的架构。这种结构形式也被称为全连接( </w:t>
      </w:r>
      <w:r>
        <w:rPr>
          <w:rFonts w:eastAsia="等线" w:ascii="Arial" w:cs="Arial" w:hAnsi="Arial"/>
          <w:sz w:val="22"/>
        </w:rPr>
        <w:t>FC</w:t>
      </w:r>
      <w:r>
        <w:rPr>
          <w:rFonts w:eastAsia="等线" w:ascii="Arial" w:cs="Arial" w:hAnsi="Arial"/>
          <w:sz w:val="22"/>
        </w:rPr>
        <w:t xml:space="preserve"> )网络，因为</w:t>
      </w:r>
      <w:r>
        <w:rPr>
          <w:rFonts w:eastAsia="等线" w:ascii="Arial" w:cs="Arial" w:hAnsi="Arial"/>
          <w:sz w:val="22"/>
        </w:rPr>
        <w:t>li</w:t>
      </w:r>
      <w:r>
        <w:rPr>
          <w:rFonts w:eastAsia="等线" w:ascii="Arial" w:cs="Arial" w:hAnsi="Arial"/>
          <w:sz w:val="22"/>
        </w:rPr>
        <w:t>层的</w:t>
      </w:r>
      <w:r>
        <w:rPr>
          <w:rFonts w:eastAsia="等线" w:ascii="Arial" w:cs="Arial" w:hAnsi="Arial"/>
          <w:sz w:val="22"/>
        </w:rPr>
        <w:t>神经元</w:t>
      </w:r>
      <w:r>
        <w:rPr>
          <w:rFonts w:eastAsia="等线" w:ascii="Arial" w:cs="Arial" w:hAnsi="Arial"/>
          <w:sz w:val="22"/>
        </w:rPr>
        <w:t>与li - 1层的每个神经元相连，i∈[ 1 , L]。</w:t>
      </w:r>
    </w:p>
    <w:p>
      <w:pPr>
        <w:numPr>
          <w:numId w:val="5"/>
        </w:numPr>
        <w:spacing w:before="120" w:after="120" w:line="288" w:lineRule="auto"/>
        <w:ind w:left="0"/>
        <w:jc w:val="left"/>
      </w:pPr>
      <w:r>
        <w:rPr>
          <w:rFonts w:eastAsia="等线" w:ascii="Arial" w:cs="Arial" w:hAnsi="Arial"/>
          <w:sz w:val="22"/>
        </w:rPr>
        <w:t>卷积神经网络</w:t>
      </w:r>
      <w:r>
        <w:rPr>
          <w:rFonts w:eastAsia="等线" w:ascii="Arial" w:cs="Arial" w:hAnsi="Arial"/>
          <w:sz w:val="22"/>
        </w:rPr>
        <w:t>CNN</w:t>
      </w:r>
      <w:r>
        <w:rPr>
          <w:rFonts w:eastAsia="等线" w:ascii="Arial" w:cs="Arial" w:hAnsi="Arial"/>
          <w:sz w:val="22"/>
        </w:rPr>
        <w:t>：自</w:t>
      </w:r>
      <w:r>
        <w:rPr>
          <w:rFonts w:eastAsia="等线" w:ascii="Arial" w:cs="Arial" w:hAnsi="Arial"/>
          <w:sz w:val="22"/>
        </w:rPr>
        <w:t>AlexNet</w:t>
      </w:r>
      <w:r>
        <w:rPr>
          <w:rFonts w:eastAsia="等线" w:ascii="Arial" w:cs="Arial" w:hAnsi="Arial"/>
          <w:sz w:val="22"/>
        </w:rPr>
        <w:t xml:space="preserve"> [22]在2012年获得</w:t>
      </w:r>
      <w:r>
        <w:rPr>
          <w:rFonts w:eastAsia="等线" w:ascii="Arial" w:cs="Arial" w:hAnsi="Arial"/>
          <w:sz w:val="22"/>
        </w:rPr>
        <w:t>ImageNet</w:t>
      </w:r>
      <w:r>
        <w:rPr>
          <w:rFonts w:eastAsia="等线" w:ascii="Arial" w:cs="Arial" w:hAnsi="Arial"/>
          <w:sz w:val="22"/>
        </w:rPr>
        <w:t>大赛冠军以来，深度卷积神经网络已经在许多不同的领域[23]中得到了成功的应用，例如在图像识别问题[24]中达到人类水平的性能，以及不同的</w:t>
      </w:r>
      <w:r>
        <w:rPr>
          <w:rFonts w:eastAsia="等线" w:ascii="Arial" w:cs="Arial" w:hAnsi="Arial"/>
          <w:sz w:val="22"/>
        </w:rPr>
        <w:t>自然语言处理</w:t>
      </w:r>
      <w:r>
        <w:rPr>
          <w:rFonts w:eastAsia="等线" w:ascii="Arial" w:cs="Arial" w:hAnsi="Arial"/>
          <w:sz w:val="22"/>
        </w:rPr>
        <w:t>任务[25,26]。受这些CNN架构在这些不同领域的成功启发，研究人员开始将其用于</w:t>
      </w:r>
      <w:r>
        <w:rPr>
          <w:rFonts w:eastAsia="等线" w:ascii="Arial" w:cs="Arial" w:hAnsi="Arial"/>
          <w:sz w:val="22"/>
        </w:rPr>
        <w:t>时间序列分析</w:t>
      </w:r>
      <w:r>
        <w:rPr>
          <w:rFonts w:eastAsia="等线" w:ascii="Arial" w:cs="Arial" w:hAnsi="Arial"/>
          <w:sz w:val="22"/>
        </w:rPr>
        <w:t>[27]。卷积可以看作是在时间序列上施加和滑动一个滤波器。与图像不同的是，滤波器只显示一个维度(时间)而不是两个维度(宽度和高度)。该滤波器也可以看作是时间序列的一般非线性变换。</w:t>
      </w:r>
    </w:p>
    <w:p>
      <w:pPr>
        <w:numPr>
          <w:numId w:val="6"/>
        </w:numPr>
        <w:spacing w:before="120" w:after="120" w:line="288" w:lineRule="auto"/>
        <w:ind w:left="0"/>
        <w:jc w:val="left"/>
      </w:pPr>
      <w:r>
        <w:rPr>
          <w:rFonts w:eastAsia="等线" w:ascii="Arial" w:cs="Arial" w:hAnsi="Arial"/>
          <w:sz w:val="22"/>
        </w:rPr>
        <w:t>回声状态网络ESN：另一种流行的深度学习模型架构是</w:t>
      </w:r>
      <w:r>
        <w:rPr>
          <w:rFonts w:eastAsia="等线" w:ascii="Arial" w:cs="Arial" w:hAnsi="Arial"/>
          <w:sz w:val="22"/>
        </w:rPr>
        <w:t>循环神经网络</w:t>
      </w:r>
      <w:r>
        <w:rPr>
          <w:rFonts w:eastAsia="等线" w:ascii="Arial" w:cs="Arial" w:hAnsi="Arial"/>
          <w:sz w:val="22"/>
        </w:rPr>
        <w:t xml:space="preserve">( </w:t>
      </w:r>
      <w:r>
        <w:rPr>
          <w:rFonts w:eastAsia="等线" w:ascii="Arial" w:cs="Arial" w:hAnsi="Arial"/>
          <w:sz w:val="22"/>
        </w:rPr>
        <w:t>Recurrent Neural Network</w:t>
      </w:r>
      <w:r>
        <w:rPr>
          <w:rFonts w:eastAsia="等线" w:ascii="Arial" w:cs="Arial" w:hAnsi="Arial"/>
          <w:sz w:val="22"/>
        </w:rPr>
        <w:t>，</w:t>
      </w:r>
      <w:r>
        <w:rPr>
          <w:rFonts w:eastAsia="等线" w:ascii="Arial" w:cs="Arial" w:hAnsi="Arial"/>
          <w:sz w:val="22"/>
        </w:rPr>
        <w:t>RNN</w:t>
      </w:r>
      <w:r>
        <w:rPr>
          <w:rFonts w:eastAsia="等线" w:ascii="Arial" w:cs="Arial" w:hAnsi="Arial"/>
          <w:sz w:val="22"/>
        </w:rPr>
        <w:t xml:space="preserve"> )。除了</w:t>
      </w:r>
      <w:r>
        <w:rPr>
          <w:rFonts w:eastAsia="等线" w:ascii="Arial" w:cs="Arial" w:hAnsi="Arial"/>
          <w:sz w:val="22"/>
        </w:rPr>
        <w:t>时间序列预测</w:t>
      </w:r>
      <w:r>
        <w:rPr>
          <w:rFonts w:eastAsia="等线" w:ascii="Arial" w:cs="Arial" w:hAnsi="Arial"/>
          <w:sz w:val="22"/>
        </w:rPr>
        <w:t>，我们发现这些</w:t>
      </w:r>
      <w:r>
        <w:rPr>
          <w:rFonts w:eastAsia="等线" w:ascii="Arial" w:cs="Arial" w:hAnsi="Arial"/>
          <w:sz w:val="22"/>
        </w:rPr>
        <w:t>神经网络</w:t>
      </w:r>
      <w:r>
        <w:rPr>
          <w:rFonts w:eastAsia="等线" w:ascii="Arial" w:cs="Arial" w:hAnsi="Arial"/>
          <w:sz w:val="22"/>
        </w:rPr>
        <w:t>很少应用于时间序列分类，这主要是由于三个因素：( 1 )这种架构的类型主要是为了预测时间序列中每个元素(时间戳)的输出；( 2 )由于在长时间序列上进行训练，RNNs通常会面临梯度消失问题；( 3 ) RNNs被认为难以训练和</w:t>
      </w:r>
      <w:r>
        <w:rPr>
          <w:rFonts w:eastAsia="等线" w:ascii="Arial" w:cs="Arial" w:hAnsi="Arial"/>
          <w:sz w:val="22"/>
        </w:rPr>
        <w:t>并行</w:t>
      </w:r>
      <w:r>
        <w:rPr>
          <w:rFonts w:eastAsia="等线" w:ascii="Arial" w:cs="Arial" w:hAnsi="Arial"/>
          <w:sz w:val="22"/>
        </w:rPr>
        <w:t>化，导致研究人员出于的计算原因而避免使用它们。鉴于上述局限性，针对时间序列提出了一种相对较新的循环结构：回声状态网络( Echo State Networks，ESNs )[28]。它们的设计是为了缓解RNNs的挑战，消除了需要计算</w:t>
      </w:r>
      <w:r>
        <w:rPr>
          <w:rFonts w:eastAsia="等线" w:ascii="Arial" w:cs="Arial" w:hAnsi="Arial"/>
          <w:sz w:val="22"/>
        </w:rPr>
        <w:t>隐藏层</w:t>
      </w:r>
      <w:r>
        <w:rPr>
          <w:rFonts w:eastAsia="等线" w:ascii="Arial" w:cs="Arial" w:hAnsi="Arial"/>
          <w:sz w:val="22"/>
        </w:rPr>
        <w:t>梯度的问题，从而减少了这些神经网络的训练时间，从而避免了梯度消失问题。</w:t>
      </w:r>
    </w:p>
    <w:p>
      <w:pPr>
        <w:pStyle w:val="1"/>
        <w:spacing w:before="380" w:after="140" w:line="288" w:lineRule="auto"/>
        <w:ind w:left="0"/>
        <w:jc w:val="left"/>
        <w:outlineLvl w:val="0"/>
      </w:pPr>
      <w:r>
        <w:rPr>
          <w:rFonts w:eastAsia="等线" w:ascii="Arial" w:cs="Arial" w:hAnsi="Arial"/>
          <w:b w:val="true"/>
          <w:sz w:val="36"/>
        </w:rPr>
        <w:t>3.</w:t>
      </w:r>
      <w:r>
        <w:rPr>
          <w:rFonts w:eastAsia="等线" w:ascii="Arial" w:cs="Arial" w:hAnsi="Arial"/>
          <w:b w:val="true"/>
          <w:sz w:val="36"/>
        </w:rPr>
        <w:t xml:space="preserve"> </w:t>
      </w:r>
      <w:r>
        <w:rPr>
          <w:rFonts w:eastAsia="等线" w:ascii="Arial" w:cs="Arial" w:hAnsi="Arial"/>
          <w:b w:val="true"/>
          <w:sz w:val="36"/>
        </w:rPr>
        <w:t>研究内容和技术路线</w:t>
      </w:r>
    </w:p>
    <w:p>
      <w:pPr>
        <w:spacing w:before="120" w:after="120" w:line="288" w:lineRule="auto"/>
        <w:ind w:left="0" w:firstLine="420"/>
        <w:jc w:val="left"/>
      </w:pPr>
      <w:r>
        <w:rPr>
          <w:rFonts w:eastAsia="等线" w:ascii="Arial" w:cs="Arial" w:hAnsi="Arial"/>
          <w:sz w:val="22"/>
        </w:rPr>
        <w:t>在大规模数据集上，基于设计好的标准，实现一系列具体方法，完成下列流程：</w:t>
      </w:r>
    </w:p>
    <w:p>
      <w:pPr>
        <w:spacing w:before="120" w:after="120" w:line="288" w:lineRule="auto"/>
        <w:ind w:left="0"/>
        <w:jc w:val="center"/>
      </w:pPr>
      <w:r>
        <w:drawing>
          <wp:inline distT="0" distR="0" distB="0" distL="0">
            <wp:extent cx="5257800" cy="242887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2428875"/>
                    </a:xfrm>
                    <a:prstGeom prst="rect">
                      <a:avLst/>
                    </a:prstGeom>
                  </pic:spPr>
                </pic:pic>
              </a:graphicData>
            </a:graphic>
          </wp:inline>
        </w:drawing>
      </w:r>
    </w:p>
    <w:p>
      <w:pPr>
        <w:pStyle w:val="2"/>
        <w:spacing w:before="320" w:after="120" w:line="288" w:lineRule="auto"/>
        <w:ind w:left="0"/>
        <w:jc w:val="left"/>
        <w:outlineLvl w:val="1"/>
      </w:pPr>
      <w:r>
        <w:rPr>
          <w:rFonts w:eastAsia="等线" w:ascii="Arial" w:cs="Arial" w:hAnsi="Arial"/>
          <w:b w:val="true"/>
          <w:sz w:val="32"/>
        </w:rPr>
        <w:t>3.1 数据准备</w:t>
      </w:r>
    </w:p>
    <w:p>
      <w:pPr>
        <w:spacing w:before="120" w:after="120" w:line="288" w:lineRule="auto"/>
        <w:ind w:left="0" w:firstLine="420"/>
        <w:jc w:val="left"/>
      </w:pPr>
      <w:r>
        <w:rPr>
          <w:rFonts w:eastAsia="等线" w:ascii="Arial" w:cs="Arial" w:hAnsi="Arial"/>
          <w:sz w:val="22"/>
        </w:rPr>
        <w:t>拟从</w:t>
      </w:r>
      <w:r>
        <w:rPr>
          <w:rFonts w:eastAsia="等线" w:ascii="Arial" w:cs="Arial" w:hAnsi="Arial"/>
          <w:sz w:val="22"/>
        </w:rPr>
        <w:t>GitHub</w:t>
      </w:r>
      <w:r>
        <w:rPr>
          <w:rFonts w:eastAsia="等线" w:ascii="Arial" w:cs="Arial" w:hAnsi="Arial"/>
          <w:sz w:val="22"/>
        </w:rPr>
        <w:t>和Gitee上选取部分（例如5000个）仓库，形成一个仓库集合R。根据R从</w:t>
      </w:r>
      <w:r>
        <w:rPr>
          <w:rFonts w:eastAsia="等线" w:ascii="Arial" w:cs="Arial" w:hAnsi="Arial"/>
          <w:sz w:val="22"/>
        </w:rPr>
        <w:t>OSS</w:t>
      </w:r>
      <w:r>
        <w:rPr>
          <w:rFonts w:eastAsia="等线" w:ascii="Arial" w:cs="Arial" w:hAnsi="Arial"/>
          <w:sz w:val="22"/>
        </w:rPr>
        <w:t xml:space="preserve"> Compass获取预测需要的全部数据（与社区演化相关的行为数据）。并且将获取到的数据以结构化的形式组织到数据库中进行存储和访问。</w:t>
      </w:r>
    </w:p>
    <w:p>
      <w:pPr>
        <w:pStyle w:val="2"/>
        <w:spacing w:before="320" w:after="120" w:line="288" w:lineRule="auto"/>
        <w:ind w:left="0"/>
        <w:jc w:val="left"/>
        <w:outlineLvl w:val="1"/>
      </w:pPr>
      <w:r>
        <w:rPr>
          <w:rFonts w:eastAsia="等线" w:ascii="Arial" w:cs="Arial" w:hAnsi="Arial"/>
          <w:b w:val="true"/>
          <w:sz w:val="32"/>
        </w:rPr>
        <w:t>3.2 “终止事件”</w:t>
      </w:r>
    </w:p>
    <w:p>
      <w:pPr>
        <w:spacing w:before="120" w:after="120" w:line="288" w:lineRule="auto"/>
        <w:ind w:left="0" w:firstLine="420"/>
        <w:jc w:val="left"/>
      </w:pPr>
      <w:r>
        <w:rPr>
          <w:rFonts w:eastAsia="等线" w:ascii="Arial" w:cs="Arial" w:hAnsi="Arial"/>
          <w:sz w:val="22"/>
        </w:rPr>
        <w:t>在以项目为粒度获取数据以后，需要对每个仓库（也称为样本）打标签，判断他们在当前状态下是否为活跃项目。尽管很多研究提出[3,4]，由于项目可能会在长时间停滞后被重新开发，也就是“起死回生”，因此无法通过对项目的历史数据观察完全得出项目是否成功/失败的结论，但是判断项目是否活跃/维护（active/maintained），可以在很大程度上预示项目的成功和失败。</w:t>
      </w:r>
    </w:p>
    <w:p>
      <w:pPr>
        <w:spacing w:before="120" w:after="120" w:line="288" w:lineRule="auto"/>
        <w:ind w:left="0" w:firstLine="420"/>
        <w:jc w:val="left"/>
      </w:pPr>
      <w:r>
        <w:rPr>
          <w:rFonts w:eastAsia="等线" w:ascii="Arial" w:cs="Arial" w:hAnsi="Arial"/>
          <w:sz w:val="22"/>
        </w:rPr>
        <w:t>判断项目是否活跃的一个常见方法是借鉴幸存模型的定义，识别时间序列中是否有“终止事件”的发生，“终止事件”的发生代表着项目幸存能力的下降。在本问题中，“终止事件”指的是“是否无commit的提交”，在开源社区中，项目代码贡献通过commit提交到仓库中，因此视此为识别项目活跃度的标志。</w:t>
      </w:r>
    </w:p>
    <w:p>
      <w:pPr>
        <w:pStyle w:val="2"/>
        <w:spacing w:before="320" w:after="120" w:line="288" w:lineRule="auto"/>
        <w:ind w:left="0"/>
        <w:jc w:val="left"/>
        <w:outlineLvl w:val="1"/>
      </w:pPr>
      <w:r>
        <w:rPr>
          <w:rFonts w:eastAsia="等线" w:ascii="Arial" w:cs="Arial" w:hAnsi="Arial"/>
          <w:b w:val="true"/>
          <w:sz w:val="32"/>
        </w:rPr>
        <w:t>3.3 数据预处理和分割方法</w:t>
      </w:r>
    </w:p>
    <w:p>
      <w:pPr>
        <w:spacing w:before="120" w:after="120" w:line="288" w:lineRule="auto"/>
        <w:ind w:left="0" w:firstLine="420"/>
        <w:jc w:val="left"/>
      </w:pPr>
      <w:r>
        <w:rPr>
          <w:rFonts w:eastAsia="等线" w:ascii="Arial" w:cs="Arial" w:hAnsi="Arial"/>
          <w:sz w:val="22"/>
        </w:rPr>
        <w:t>在这一步，原始的行为数据被社区</w:t>
      </w:r>
      <w:r>
        <w:rPr>
          <w:rFonts w:eastAsia="等线" w:ascii="Arial" w:cs="Arial" w:hAnsi="Arial"/>
          <w:sz w:val="22"/>
        </w:rPr>
        <w:t>演化算法</w:t>
      </w:r>
      <w:r>
        <w:rPr>
          <w:rFonts w:eastAsia="等线" w:ascii="Arial" w:cs="Arial" w:hAnsi="Arial"/>
          <w:sz w:val="22"/>
        </w:rPr>
        <w:t>计算转化为四个指数的多维时间序列。在这部分中，涉及到数据的切割和重新组织：</w:t>
      </w:r>
    </w:p>
    <w:p>
      <w:pPr>
        <w:numPr>
          <w:numId w:val="7"/>
        </w:numPr>
        <w:spacing w:before="120" w:after="120" w:line="288" w:lineRule="auto"/>
        <w:ind w:left="0"/>
        <w:jc w:val="left"/>
      </w:pPr>
      <w:r>
        <w:rPr>
          <w:rFonts w:eastAsia="等线" w:ascii="Arial" w:cs="Arial" w:hAnsi="Arial"/>
          <w:sz w:val="22"/>
        </w:rPr>
        <w:t>首先是将</w:t>
      </w:r>
      <w:r>
        <w:rPr>
          <w:rFonts w:eastAsia="等线" w:ascii="Arial" w:cs="Arial" w:hAnsi="Arial"/>
          <w:sz w:val="22"/>
        </w:rPr>
        <w:t>原始数据</w:t>
      </w:r>
      <w:r>
        <w:rPr>
          <w:rFonts w:eastAsia="等线" w:ascii="Arial" w:cs="Arial" w:hAnsi="Arial"/>
          <w:sz w:val="22"/>
        </w:rPr>
        <w:t>序列切割成合适的长度，截取其中的有效数据。一般做法是切割最近的两年有效数据，并且以一年为时间长度确定项目是否判定为终止[2,4]。在我们的问题中，为了保证灵活性，应该将时间长度、提前量等设置为参数。</w:t>
      </w:r>
    </w:p>
    <w:p>
      <w:pPr>
        <w:numPr>
          <w:numId w:val="8"/>
        </w:numPr>
        <w:spacing w:before="120" w:after="120" w:line="288" w:lineRule="auto"/>
        <w:ind w:left="0"/>
        <w:jc w:val="left"/>
      </w:pPr>
      <w:r>
        <w:rPr>
          <w:rFonts w:eastAsia="等线" w:ascii="Arial" w:cs="Arial" w:hAnsi="Arial"/>
          <w:sz w:val="22"/>
        </w:rPr>
        <w:t>在计算四个指数的多维时间序列时，需要将数据按照时间顺序组织并切片[16]。例如：时间切片长度为一个月，每次向前滑动一周，将2023.04-2023.06的数据切分成4个切片。</w:t>
      </w:r>
    </w:p>
    <w:p>
      <w:pPr>
        <w:spacing w:before="120" w:after="120" w:line="288" w:lineRule="auto"/>
        <w:ind w:left="0"/>
        <w:jc w:val="center"/>
      </w:pPr>
      <w:r>
        <w:drawing>
          <wp:inline distT="0" distR="0" distB="0" distL="0">
            <wp:extent cx="5257800" cy="262890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257800" cy="2628900"/>
                    </a:xfrm>
                    <a:prstGeom prst="rect">
                      <a:avLst/>
                    </a:prstGeom>
                  </pic:spPr>
                </pic:pic>
              </a:graphicData>
            </a:graphic>
          </wp:inline>
        </w:drawing>
      </w:r>
    </w:p>
    <w:p>
      <w:pPr>
        <w:pStyle w:val="2"/>
        <w:spacing w:before="320" w:after="120" w:line="288" w:lineRule="auto"/>
        <w:ind w:left="0"/>
        <w:jc w:val="left"/>
        <w:outlineLvl w:val="1"/>
      </w:pPr>
      <w:r>
        <w:rPr>
          <w:rFonts w:eastAsia="等线" w:ascii="Arial" w:cs="Arial" w:hAnsi="Arial"/>
          <w:b w:val="true"/>
          <w:sz w:val="32"/>
        </w:rPr>
        <w:t xml:space="preserve">3.4 </w:t>
      </w:r>
      <w:r>
        <w:rPr>
          <w:rFonts w:eastAsia="等线" w:ascii="Arial" w:cs="Arial" w:hAnsi="Arial"/>
          <w:b w:val="true"/>
          <w:sz w:val="32"/>
        </w:rPr>
        <w:t>机器学习</w:t>
      </w:r>
      <w:r>
        <w:rPr>
          <w:rFonts w:eastAsia="等线" w:ascii="Arial" w:cs="Arial" w:hAnsi="Arial"/>
          <w:b w:val="true"/>
          <w:sz w:val="32"/>
        </w:rPr>
        <w:t>方法、验证方法</w:t>
      </w:r>
    </w:p>
    <w:p>
      <w:pPr>
        <w:spacing w:before="120" w:after="120" w:line="288" w:lineRule="auto"/>
        <w:ind w:left="0" w:firstLine="420"/>
        <w:jc w:val="left"/>
      </w:pPr>
      <w:r>
        <w:rPr>
          <w:rFonts w:eastAsia="等线" w:ascii="Arial" w:cs="Arial" w:hAnsi="Arial"/>
          <w:sz w:val="22"/>
        </w:rPr>
        <w:t>这部分拟使用不同的</w:t>
      </w:r>
      <w:r>
        <w:rPr>
          <w:rFonts w:eastAsia="等线" w:ascii="Arial" w:cs="Arial" w:hAnsi="Arial"/>
          <w:sz w:val="22"/>
        </w:rPr>
        <w:t>机器学习</w:t>
      </w:r>
      <w:r>
        <w:rPr>
          <w:rFonts w:eastAsia="等线" w:ascii="Arial" w:cs="Arial" w:hAnsi="Arial"/>
          <w:sz w:val="22"/>
        </w:rPr>
        <w:t>方法进行上述的</w:t>
      </w:r>
      <w:r>
        <w:rPr>
          <w:rFonts w:eastAsia="等线" w:ascii="Arial" w:cs="Arial" w:hAnsi="Arial"/>
          <w:sz w:val="22"/>
        </w:rPr>
        <w:t>时间序列预测</w:t>
      </w:r>
      <w:r>
        <w:rPr>
          <w:rFonts w:eastAsia="等线" w:ascii="Arial" w:cs="Arial" w:hAnsi="Arial"/>
          <w:sz w:val="22"/>
        </w:rPr>
        <w:t>，将方法分为基于特征的预测方法、基于距离的预测方法、基于深度学习的预测方法三类。</w:t>
      </w:r>
    </w:p>
    <w:p>
      <w:pPr>
        <w:numPr>
          <w:numId w:val="9"/>
        </w:numPr>
        <w:spacing w:before="120" w:after="120" w:line="288" w:lineRule="auto"/>
        <w:ind w:left="0"/>
        <w:jc w:val="left"/>
      </w:pPr>
      <w:r>
        <w:rPr>
          <w:rFonts w:eastAsia="等线" w:ascii="Arial" w:cs="Arial" w:hAnsi="Arial"/>
          <w:sz w:val="22"/>
        </w:rPr>
        <w:t>基于特征的预测方法：这部分主要指针对多维时间序列，进行与时间序列相关的特征挖掘[17]，并将挖掘出来的特征作为输入，进行机器学习模型的训练和测试。</w:t>
      </w:r>
    </w:p>
    <w:p>
      <w:pPr>
        <w:numPr>
          <w:numId w:val="10"/>
        </w:numPr>
        <w:spacing w:before="120" w:after="120" w:line="288" w:lineRule="auto"/>
        <w:ind w:left="0"/>
        <w:jc w:val="left"/>
      </w:pPr>
      <w:r>
        <w:rPr>
          <w:rFonts w:eastAsia="等线" w:ascii="Arial" w:cs="Arial" w:hAnsi="Arial"/>
          <w:sz w:val="22"/>
        </w:rPr>
        <w:t>基于距离的预测方法（模式挖掘）：这部分主要指基于shapelet的模式挖掘方法，进行的预测。shapelet方法是基于</w:t>
      </w:r>
      <w:r>
        <w:rPr>
          <w:rFonts w:eastAsia="等线" w:ascii="Arial" w:cs="Arial" w:hAnsi="Arial"/>
          <w:sz w:val="22"/>
        </w:rPr>
        <w:t>距离矩阵</w:t>
      </w:r>
      <w:r>
        <w:rPr>
          <w:rFonts w:eastAsia="等线" w:ascii="Arial" w:cs="Arial" w:hAnsi="Arial"/>
          <w:sz w:val="22"/>
        </w:rPr>
        <w:t>的，因此距离计算结果会对结果产生影响，同时也常用一些基于距离的预测方法进行分类和预测[1]。例如使用</w:t>
      </w:r>
      <w:r>
        <w:rPr>
          <w:rFonts w:eastAsia="等线" w:ascii="Arial" w:cs="Arial" w:hAnsi="Arial"/>
          <w:sz w:val="22"/>
        </w:rPr>
        <w:t>KNN</w:t>
      </w:r>
      <w:r>
        <w:rPr>
          <w:rFonts w:eastAsia="等线" w:ascii="Arial" w:cs="Arial" w:hAnsi="Arial"/>
          <w:sz w:val="22"/>
        </w:rPr>
        <w:t>、距离内核等方法。</w:t>
      </w:r>
    </w:p>
    <w:p>
      <w:pPr>
        <w:numPr>
          <w:numId w:val="11"/>
        </w:numPr>
        <w:spacing w:before="120" w:after="120" w:line="288" w:lineRule="auto"/>
        <w:ind w:left="0"/>
        <w:jc w:val="left"/>
      </w:pPr>
      <w:r>
        <w:rPr>
          <w:rFonts w:eastAsia="等线" w:ascii="Arial" w:cs="Arial" w:hAnsi="Arial"/>
          <w:sz w:val="22"/>
        </w:rPr>
        <w:t>基于深度学习模型的预测方法：对于时间序列分类问题，目前比较新的方法是采用深度学习模型（如</w:t>
      </w:r>
      <w:r>
        <w:rPr>
          <w:rFonts w:eastAsia="等线" w:ascii="Arial" w:cs="Arial" w:hAnsi="Arial"/>
          <w:sz w:val="22"/>
        </w:rPr>
        <w:t>CNN</w:t>
      </w:r>
      <w:r>
        <w:rPr>
          <w:rFonts w:eastAsia="等线" w:ascii="Arial" w:cs="Arial" w:hAnsi="Arial"/>
          <w:sz w:val="22"/>
        </w:rPr>
        <w:t>等）进行分类[14]。这类方法需要更多的运算资源，但是往往能够取得更高的精确度和分类效果。</w:t>
      </w:r>
    </w:p>
    <w:p>
      <w:pPr>
        <w:spacing w:before="120" w:after="120" w:line="288" w:lineRule="auto"/>
        <w:ind w:left="0" w:firstLine="420"/>
        <w:jc w:val="left"/>
      </w:pPr>
      <w:r>
        <w:rPr>
          <w:rFonts w:eastAsia="等线" w:ascii="Arial" w:cs="Arial" w:hAnsi="Arial"/>
          <w:sz w:val="22"/>
        </w:rPr>
        <w:t>在经过上述步骤得到一系列</w:t>
      </w:r>
      <w:r>
        <w:rPr>
          <w:rFonts w:eastAsia="等线" w:ascii="Arial" w:cs="Arial" w:hAnsi="Arial"/>
          <w:sz w:val="22"/>
        </w:rPr>
        <w:t>分类模型</w:t>
      </w:r>
      <w:r>
        <w:rPr>
          <w:rFonts w:eastAsia="等线" w:ascii="Arial" w:cs="Arial" w:hAnsi="Arial"/>
          <w:sz w:val="22"/>
        </w:rPr>
        <w:t>以后，就可以对模型的效果进行评估。常见的方法是采用十折交叉验证，这种方法可以得到较为精确的评估结果，避免因数据集不同切分方式导致的误差。</w:t>
      </w:r>
    </w:p>
    <w:p>
      <w:pPr>
        <w:pStyle w:val="1"/>
        <w:spacing w:before="380" w:after="140" w:line="288" w:lineRule="auto"/>
        <w:ind w:left="0"/>
        <w:jc w:val="left"/>
        <w:outlineLvl w:val="0"/>
      </w:pPr>
      <w:r>
        <w:rPr>
          <w:rFonts w:eastAsia="等线" w:ascii="Arial" w:cs="Arial" w:hAnsi="Arial"/>
          <w:b w:val="true"/>
          <w:sz w:val="36"/>
        </w:rPr>
        <w:t>3.5 评价指标体系</w:t>
      </w:r>
    </w:p>
    <w:p>
      <w:pPr>
        <w:spacing w:before="120" w:after="120" w:line="288" w:lineRule="auto"/>
        <w:ind w:left="0" w:firstLine="420"/>
        <w:jc w:val="left"/>
      </w:pPr>
      <w:r>
        <w:rPr>
          <w:rFonts w:eastAsia="等线" w:ascii="Arial" w:cs="Arial" w:hAnsi="Arial"/>
          <w:sz w:val="22"/>
        </w:rPr>
        <w:t>这一步拟对</w:t>
      </w:r>
      <w:r>
        <w:rPr>
          <w:rFonts w:eastAsia="等线" w:ascii="Arial" w:cs="Arial" w:hAnsi="Arial"/>
          <w:sz w:val="22"/>
        </w:rPr>
        <w:t>测试评估</w:t>
      </w:r>
      <w:r>
        <w:rPr>
          <w:rFonts w:eastAsia="等线" w:ascii="Arial" w:cs="Arial" w:hAnsi="Arial"/>
          <w:sz w:val="22"/>
        </w:rPr>
        <w:t>结果进行</w:t>
      </w:r>
      <w:r>
        <w:rPr>
          <w:rFonts w:eastAsia="等线" w:ascii="Arial" w:cs="Arial" w:hAnsi="Arial"/>
          <w:sz w:val="22"/>
        </w:rPr>
        <w:t>整理、比较、分析、讨论、总结</w:t>
      </w:r>
      <w:r>
        <w:rPr>
          <w:rFonts w:eastAsia="等线" w:ascii="Arial" w:cs="Arial" w:hAnsi="Arial"/>
          <w:sz w:val="22"/>
        </w:rPr>
        <w:t>，主要是比较不同方法之间的精确度、混淆矩阵等评估指标的差异，分析每种方法不同的优缺点和适用范围，并试图得到一些值得探讨的结论。</w:t>
      </w:r>
    </w:p>
    <w:p>
      <w:pPr>
        <w:pStyle w:val="1"/>
        <w:spacing w:before="380" w:after="140" w:line="288" w:lineRule="auto"/>
        <w:ind w:left="0"/>
        <w:jc w:val="left"/>
        <w:outlineLvl w:val="0"/>
      </w:pPr>
      <w:r>
        <w:rPr>
          <w:rFonts w:eastAsia="等线" w:ascii="Arial" w:cs="Arial" w:hAnsi="Arial"/>
          <w:b w:val="true"/>
          <w:sz w:val="36"/>
        </w:rPr>
        <w:t>参考文献</w:t>
      </w:r>
    </w:p>
    <w:p>
      <w:pPr>
        <w:spacing w:before="120" w:after="120" w:line="288" w:lineRule="auto"/>
        <w:ind w:left="0"/>
        <w:jc w:val="left"/>
      </w:pPr>
      <w:r>
        <w:rPr>
          <w:rFonts w:eastAsia="等线" w:ascii="Arial" w:cs="Arial" w:hAnsi="Arial"/>
          <w:sz w:val="22"/>
        </w:rPr>
        <w:t xml:space="preserve">[1] Amaia Abanda, Usue Mori, and Jose A. Lozano. 2019. A Review on Distance Based </w:t>
      </w:r>
      <w:r>
        <w:rPr>
          <w:rFonts w:eastAsia="等线" w:ascii="Arial" w:cs="Arial" w:hAnsi="Arial"/>
          <w:sz w:val="22"/>
        </w:rPr>
        <w:t>Time Series</w:t>
      </w:r>
      <w:r>
        <w:rPr>
          <w:rFonts w:eastAsia="等线" w:ascii="Arial" w:cs="Arial" w:hAnsi="Arial"/>
          <w:sz w:val="22"/>
        </w:rPr>
        <w:t xml:space="preserve"> Classification. </w:t>
      </w:r>
      <w:r>
        <w:rPr>
          <w:rFonts w:eastAsia="等线" w:ascii="Arial" w:cs="Arial" w:hAnsi="Arial"/>
          <w:sz w:val="22"/>
        </w:rPr>
        <w:t>Data Mining</w:t>
      </w:r>
      <w:r>
        <w:rPr>
          <w:rFonts w:eastAsia="等线" w:ascii="Arial" w:cs="Arial" w:hAnsi="Arial"/>
          <w:sz w:val="22"/>
        </w:rPr>
        <w:t xml:space="preserve"> and Knowledge Discovery 33, 2 (March 2019), 378–412. </w:t>
      </w:r>
      <w:r>
        <w:rPr>
          <w:rFonts w:eastAsia="等线" w:ascii="Arial" w:cs="Arial" w:hAnsi="Arial"/>
          <w:sz w:val="22"/>
        </w:rPr>
        <w:t>https://doi.org/10.1007/s10618-018-0596-4</w:t>
      </w:r>
      <w:r>
        <w:rPr>
          <w:rFonts w:eastAsia="等线" w:ascii="Arial" w:cs="Arial" w:hAnsi="Arial"/>
          <w:sz w:val="22"/>
        </w:rPr>
        <w:br/>
      </w:r>
      <w:r>
        <w:rPr>
          <w:rFonts w:eastAsia="等线" w:ascii="Arial" w:cs="Arial" w:hAnsi="Arial"/>
          <w:sz w:val="22"/>
        </w:rPr>
        <w:t xml:space="preserve">[2] Rao Hamza Ali, Chelsea Parlett-Pelleriti, and Erik Linstead. 2020. Cheating Death: A Statistical Survival Analysis of Publicly Available Python Projects. In Proceedings of the 17th International Conference on Mining Software Repositories. ACM, Seoul Republic of Korea, 6–10. </w:t>
      </w:r>
      <w:r>
        <w:rPr>
          <w:rFonts w:eastAsia="等线" w:ascii="Arial" w:cs="Arial" w:hAnsi="Arial"/>
          <w:sz w:val="22"/>
        </w:rPr>
        <w:t>https://doi.org/10.1145/3379597.3387511</w:t>
      </w:r>
      <w:r>
        <w:rPr>
          <w:rFonts w:eastAsia="等线" w:ascii="Arial" w:cs="Arial" w:hAnsi="Arial"/>
          <w:sz w:val="22"/>
        </w:rPr>
        <w:br/>
      </w:r>
      <w:r>
        <w:rPr>
          <w:rFonts w:eastAsia="等线" w:ascii="Arial" w:cs="Arial" w:hAnsi="Arial"/>
          <w:sz w:val="22"/>
        </w:rPr>
        <w:t xml:space="preserve">[3] Jailton Coelho and Marco Tulio Valente. 2017. Why modern </w:t>
      </w:r>
      <w:r>
        <w:rPr>
          <w:rFonts w:eastAsia="等线" w:ascii="Arial" w:cs="Arial" w:hAnsi="Arial"/>
          <w:sz w:val="22"/>
        </w:rPr>
        <w:t>open source</w:t>
      </w:r>
      <w:r>
        <w:rPr>
          <w:rFonts w:eastAsia="等线" w:ascii="Arial" w:cs="Arial" w:hAnsi="Arial"/>
          <w:sz w:val="22"/>
        </w:rPr>
        <w:t xml:space="preserve"> projects fail. In Proceedings of the 2017 11th Joint Meeting on Foundations of </w:t>
      </w:r>
      <w:r>
        <w:rPr>
          <w:rFonts w:eastAsia="等线" w:ascii="Arial" w:cs="Arial" w:hAnsi="Arial"/>
          <w:sz w:val="22"/>
        </w:rPr>
        <w:t>Software Engineering</w:t>
      </w:r>
      <w:r>
        <w:rPr>
          <w:rFonts w:eastAsia="等线" w:ascii="Arial" w:cs="Arial" w:hAnsi="Arial"/>
          <w:sz w:val="22"/>
        </w:rPr>
        <w:t>. 186–196.</w:t>
        <w:br/>
      </w:r>
      <w:r>
        <w:rPr>
          <w:rFonts w:eastAsia="等线" w:ascii="Arial" w:cs="Arial" w:hAnsi="Arial"/>
          <w:sz w:val="22"/>
        </w:rPr>
        <w:t xml:space="preserve">[4] Jailton Coelho, Marco Tulio Valente, Luciano Milen, and Luciana L. Silva. 2020. Is This </w:t>
      </w:r>
      <w:r>
        <w:rPr>
          <w:rFonts w:eastAsia="等线" w:ascii="Arial" w:cs="Arial" w:hAnsi="Arial"/>
          <w:sz w:val="22"/>
        </w:rPr>
        <w:t>GitHub</w:t>
      </w:r>
      <w:r>
        <w:rPr>
          <w:rFonts w:eastAsia="等线" w:ascii="Arial" w:cs="Arial" w:hAnsi="Arial"/>
          <w:sz w:val="22"/>
        </w:rPr>
        <w:t xml:space="preserve"> Project Maintained? Measuring the Level of </w:t>
      </w:r>
      <w:r>
        <w:rPr>
          <w:rFonts w:eastAsia="等线" w:ascii="Arial" w:cs="Arial" w:hAnsi="Arial"/>
          <w:sz w:val="22"/>
        </w:rPr>
        <w:t>Maintenance</w:t>
      </w:r>
      <w:r>
        <w:rPr>
          <w:rFonts w:eastAsia="等线" w:ascii="Arial" w:cs="Arial" w:hAnsi="Arial"/>
          <w:sz w:val="22"/>
        </w:rPr>
        <w:t xml:space="preserve"> Activity of Open-Source Projects. Information and Software Technology 122 (June 2020), 106274. </w:t>
      </w:r>
      <w:r>
        <w:rPr>
          <w:rFonts w:eastAsia="等线" w:ascii="Arial" w:cs="Arial" w:hAnsi="Arial"/>
          <w:sz w:val="22"/>
        </w:rPr>
        <w:t>https://doi.org/10.1016/j.infsof.2020.106274</w:t>
      </w:r>
      <w:r>
        <w:rPr>
          <w:rFonts w:eastAsia="等线" w:ascii="Arial" w:cs="Arial" w:hAnsi="Arial"/>
          <w:sz w:val="22"/>
        </w:rPr>
        <w:br/>
      </w:r>
      <w:r>
        <w:rPr>
          <w:rFonts w:eastAsia="等线" w:ascii="Arial" w:cs="Arial" w:hAnsi="Arial"/>
          <w:sz w:val="22"/>
        </w:rPr>
        <w:t xml:space="preserve">[5] Nicholas Evangelopoulos, Anna Sidorova, Stergios Fotopoulos, and Indushobha Chengalur-Smith. 2008. Determining Process Death Based on Censored Activity Data. Communications in Statistics - Simulation and Computation 37, 8 (Aug. 2008), 1647–1662. </w:t>
      </w:r>
      <w:r>
        <w:rPr>
          <w:rFonts w:eastAsia="等线" w:ascii="Arial" w:cs="Arial" w:hAnsi="Arial"/>
          <w:sz w:val="22"/>
        </w:rPr>
        <w:t>https://doi.org/10.1080/03610910802140224</w:t>
      </w:r>
    </w:p>
    <w:p>
      <w:pPr>
        <w:spacing w:before="120" w:after="120" w:line="288" w:lineRule="auto"/>
        <w:ind w:left="0"/>
        <w:jc w:val="left"/>
      </w:pPr>
      <w:r>
        <w:rPr>
          <w:rFonts w:eastAsia="等线" w:ascii="Arial" w:cs="Arial" w:hAnsi="Arial"/>
          <w:sz w:val="22"/>
        </w:rPr>
        <w:t xml:space="preserve">[6] LINÅKER J, PAPATHEOCHAROUS E, OLSSON T. How to characterize the health of an </w:t>
      </w:r>
      <w:r>
        <w:rPr>
          <w:rFonts w:eastAsia="等线" w:ascii="Arial" w:cs="Arial" w:hAnsi="Arial"/>
          <w:sz w:val="22"/>
        </w:rPr>
        <w:t>open source software</w:t>
      </w:r>
      <w:r>
        <w:rPr>
          <w:rFonts w:eastAsia="等线" w:ascii="Arial" w:cs="Arial" w:hAnsi="Arial"/>
          <w:sz w:val="22"/>
        </w:rPr>
        <w:t xml:space="preserve"> project? a snowball literature review of an emerging practice[C]// Proceedings of the 18th International Symposium on Open </w:t>
      </w:r>
      <w:r>
        <w:rPr>
          <w:rFonts w:eastAsia="等线" w:ascii="Arial" w:cs="Arial" w:hAnsi="Arial"/>
          <w:sz w:val="22"/>
        </w:rPr>
        <w:t>Collaboration</w:t>
      </w:r>
      <w:r>
        <w:rPr>
          <w:rFonts w:eastAsia="等线" w:ascii="Arial" w:cs="Arial" w:hAnsi="Arial"/>
          <w:sz w:val="22"/>
        </w:rPr>
        <w:t>. [S.l.: s.n.], 2022: 1-12.</w:t>
        <w:br/>
        <w:t>[7] YOUSEF ZADEH SHOOSHTARI A. Taxonomies of software ecosystem health metrics and practices: a systematic literature review[D]. [S.l.: s.n.], 2020.</w:t>
        <w:br/>
        <w:t>[8] VAN DER SLUIJS D. Software ecosystem sustainability assessment: an investigation of the state of the art and stakeholder perceptions[J]. 2018.</w:t>
        <w:br/>
      </w:r>
      <w:r>
        <w:rPr>
          <w:rFonts w:eastAsia="等线" w:ascii="Arial" w:cs="Arial" w:hAnsi="Arial"/>
          <w:sz w:val="22"/>
        </w:rPr>
        <w:t xml:space="preserve">[9] GOGGINS S, LUMBARD K, GERMONPREZ M. </w:t>
      </w:r>
      <w:r>
        <w:rPr>
          <w:rFonts w:eastAsia="等线" w:ascii="Arial" w:cs="Arial" w:hAnsi="Arial"/>
          <w:sz w:val="22"/>
        </w:rPr>
        <w:t>Open source</w:t>
      </w:r>
      <w:r>
        <w:rPr>
          <w:rFonts w:eastAsia="等线" w:ascii="Arial" w:cs="Arial" w:hAnsi="Arial"/>
          <w:sz w:val="22"/>
        </w:rPr>
        <w:t xml:space="preserve"> community health: Analytical metrics and their corresponding narratives[C]//2021 </w:t>
      </w:r>
      <w:r>
        <w:rPr>
          <w:rFonts w:eastAsia="等线" w:ascii="Arial" w:cs="Arial" w:hAnsi="Arial"/>
          <w:sz w:val="22"/>
        </w:rPr>
        <w:t>IEEE</w:t>
      </w:r>
      <w:r>
        <w:rPr>
          <w:rFonts w:eastAsia="等线" w:ascii="Arial" w:cs="Arial" w:hAnsi="Arial"/>
          <w:sz w:val="22"/>
        </w:rPr>
        <w:t xml:space="preserve">/ACM 4th International Workshop on Software </w:t>
      </w:r>
      <w:r>
        <w:rPr>
          <w:rFonts w:eastAsia="等线" w:ascii="Arial" w:cs="Arial" w:hAnsi="Arial"/>
          <w:sz w:val="22"/>
        </w:rPr>
        <w:t>Health</w:t>
      </w:r>
      <w:r>
        <w:rPr>
          <w:rFonts w:eastAsia="等线" w:ascii="Arial" w:cs="Arial" w:hAnsi="Arial"/>
          <w:sz w:val="22"/>
        </w:rPr>
        <w:t xml:space="preserve"> in Projects, Ecosystems and Communities (SoHeal). [S.l.]: IEEE, 2021: 25-33.</w:t>
        <w:br/>
      </w:r>
      <w:r>
        <w:rPr>
          <w:rFonts w:eastAsia="等线" w:ascii="Arial" w:cs="Arial" w:hAnsi="Arial"/>
          <w:sz w:val="22"/>
        </w:rPr>
        <w:t xml:space="preserve">[10] LIAO Z, DENG L, FAN X, et al. Empirical research on the evaluation model and method of sustainability of the open source ecosystem[J]. Symmetry, 2018, 10(12):747.  </w:t>
      </w:r>
    </w:p>
    <w:p>
      <w:pPr>
        <w:spacing w:before="120" w:after="120" w:line="288" w:lineRule="auto"/>
        <w:ind w:left="0"/>
        <w:jc w:val="left"/>
      </w:pPr>
      <w:r>
        <w:rPr>
          <w:rFonts w:eastAsia="等线" w:ascii="Arial" w:cs="Arial" w:hAnsi="Arial"/>
          <w:sz w:val="22"/>
        </w:rPr>
        <w:t xml:space="preserve">[10] </w:t>
      </w:r>
      <w:r>
        <w:rPr>
          <w:rFonts w:eastAsia="等线" w:ascii="Arial" w:cs="Arial" w:hAnsi="Arial"/>
          <w:sz w:val="22"/>
        </w:rPr>
        <w:t>Lin</w:t>
      </w:r>
      <w:r>
        <w:rPr>
          <w:rFonts w:eastAsia="等线" w:ascii="Arial" w:cs="Arial" w:hAnsi="Arial"/>
          <w:sz w:val="22"/>
        </w:rPr>
        <w:t xml:space="preserve">, Bin, Gregorio Robles和Alexander Serebrenik. 《Developer Turnover in Global, Industrial </w:t>
      </w:r>
      <w:r>
        <w:rPr>
          <w:rFonts w:eastAsia="等线" w:ascii="Arial" w:cs="Arial" w:hAnsi="Arial"/>
          <w:sz w:val="22"/>
        </w:rPr>
        <w:t>Open Source</w:t>
      </w:r>
      <w:r>
        <w:rPr>
          <w:rFonts w:eastAsia="等线" w:ascii="Arial" w:cs="Arial" w:hAnsi="Arial"/>
          <w:sz w:val="22"/>
        </w:rPr>
        <w:t xml:space="preserve"> Projects: </w:t>
      </w:r>
      <w:r>
        <w:rPr>
          <w:rFonts w:eastAsia="等线" w:ascii="Arial" w:cs="Arial" w:hAnsi="Arial"/>
          <w:sz w:val="22"/>
        </w:rPr>
        <w:t>Insights</w:t>
      </w:r>
      <w:r>
        <w:rPr>
          <w:rFonts w:eastAsia="等线" w:ascii="Arial" w:cs="Arial" w:hAnsi="Arial"/>
          <w:sz w:val="22"/>
        </w:rPr>
        <w:t xml:space="preserve"> from Applying Survival Analysis》. 收入 </w:t>
      </w:r>
      <w:r>
        <w:rPr>
          <w:rFonts w:eastAsia="等线" w:ascii="Arial" w:cs="Arial" w:hAnsi="Arial"/>
          <w:i w:val="true"/>
          <w:sz w:val="22"/>
        </w:rPr>
        <w:t xml:space="preserve">2017 </w:t>
      </w:r>
      <w:r>
        <w:rPr>
          <w:rFonts w:eastAsia="等线" w:ascii="Arial" w:cs="Arial" w:hAnsi="Arial"/>
          <w:i w:val="true"/>
          <w:sz w:val="22"/>
        </w:rPr>
        <w:t>IEEE</w:t>
      </w:r>
      <w:r>
        <w:rPr>
          <w:rFonts w:eastAsia="等线" w:ascii="Arial" w:cs="Arial" w:hAnsi="Arial"/>
          <w:i w:val="true"/>
          <w:sz w:val="22"/>
        </w:rPr>
        <w:t xml:space="preserve"> 12th International Conference on Global </w:t>
      </w:r>
      <w:r>
        <w:rPr>
          <w:rFonts w:eastAsia="等线" w:ascii="Arial" w:cs="Arial" w:hAnsi="Arial"/>
          <w:i w:val="true"/>
          <w:sz w:val="22"/>
        </w:rPr>
        <w:t>Software Engineering</w:t>
      </w:r>
      <w:r>
        <w:rPr>
          <w:rFonts w:eastAsia="等线" w:ascii="Arial" w:cs="Arial" w:hAnsi="Arial"/>
          <w:i w:val="true"/>
          <w:sz w:val="22"/>
        </w:rPr>
        <w:t xml:space="preserve"> (ICGSE)</w:t>
      </w:r>
      <w:r>
        <w:rPr>
          <w:rFonts w:eastAsia="等线" w:ascii="Arial" w:cs="Arial" w:hAnsi="Arial"/>
          <w:sz w:val="22"/>
        </w:rPr>
        <w:t xml:space="preserve">, 66–75. Buenos Aires, Argentina: IEEE, 2017. </w:t>
      </w:r>
      <w:hyperlink r:id="rId7">
        <w:r>
          <w:rPr>
            <w:rFonts w:eastAsia="等线" w:ascii="Arial" w:cs="Arial" w:hAnsi="Arial"/>
            <w:color w:val="3370ff"/>
            <w:sz w:val="22"/>
          </w:rPr>
          <w:t>https://doi.org/10.1109/ICGSE.2017.11</w:t>
        </w:r>
      </w:hyperlink>
      <w:r>
        <w:rPr>
          <w:rFonts w:eastAsia="等线" w:ascii="Arial" w:cs="Arial" w:hAnsi="Arial"/>
          <w:sz w:val="22"/>
        </w:rPr>
        <w:t>.</w:t>
      </w:r>
    </w:p>
    <w:p>
      <w:pPr>
        <w:spacing w:before="120" w:after="120" w:line="288" w:lineRule="auto"/>
        <w:ind w:left="0"/>
        <w:jc w:val="left"/>
      </w:pPr>
      <w:r>
        <w:rPr>
          <w:rFonts w:eastAsia="等线" w:ascii="Arial" w:cs="Arial" w:hAnsi="Arial"/>
          <w:sz w:val="22"/>
        </w:rPr>
        <w:t>[11] ALVES C F, OLIVEIRA J A, JANSEN S. Understanding governance mechanisms and health in software ecosystems: A systematic literature review[C]//International Conference on Enterprise Information Systems. [S.l.: s.n.], 2017.</w:t>
        <w:br/>
        <w:t>[12] MANIKAS K, HANSEN K M. Reviewing the health of software ecosystems–a conceptual framework proposal[C]//Proceedings of the 5th international workshop on software ecosystems (IWSECO). [S.l.]: Citeseer, 2013: 33-44.</w:t>
        <w:br/>
      </w:r>
      <w:r>
        <w:rPr>
          <w:rFonts w:eastAsia="等线" w:ascii="Arial" w:cs="Arial" w:hAnsi="Arial"/>
          <w:sz w:val="22"/>
        </w:rPr>
        <w:t xml:space="preserve">[13] MANIKAS K, HANSEN K M. Software ecosystems - a systematic literature review[J]. J. Syst. Softw., 2013, 86:1294-1306.  </w:t>
      </w:r>
    </w:p>
    <w:p>
      <w:pPr>
        <w:spacing w:before="120" w:after="120" w:line="288" w:lineRule="auto"/>
        <w:ind w:left="0" w:firstLine="0"/>
        <w:jc w:val="left"/>
      </w:pPr>
      <w:r>
        <w:rPr>
          <w:rFonts w:eastAsia="等线" w:ascii="Arial" w:cs="Arial" w:hAnsi="Arial"/>
          <w:sz w:val="22"/>
        </w:rPr>
        <w:t xml:space="preserve">[14] Ismail Fawaz, Hassan, Germain Forestier, Jonathan Weber, Lhassane Idoumghar和Pierre-Alain Muller. 《Deep Learning for </w:t>
      </w:r>
      <w:r>
        <w:rPr>
          <w:rFonts w:eastAsia="等线" w:ascii="Arial" w:cs="Arial" w:hAnsi="Arial"/>
          <w:sz w:val="22"/>
        </w:rPr>
        <w:t>Time Series</w:t>
      </w:r>
      <w:r>
        <w:rPr>
          <w:rFonts w:eastAsia="等线" w:ascii="Arial" w:cs="Arial" w:hAnsi="Arial"/>
          <w:sz w:val="22"/>
        </w:rPr>
        <w:t xml:space="preserve"> Classification: A Review》. </w:t>
      </w:r>
      <w:r>
        <w:rPr>
          <w:rFonts w:eastAsia="等线" w:ascii="Arial" w:cs="Arial" w:hAnsi="Arial"/>
          <w:i w:val="true"/>
          <w:sz w:val="22"/>
        </w:rPr>
        <w:t>Data Mining</w:t>
      </w:r>
      <w:r>
        <w:rPr>
          <w:rFonts w:eastAsia="等线" w:ascii="Arial" w:cs="Arial" w:hAnsi="Arial"/>
          <w:i w:val="true"/>
          <w:sz w:val="22"/>
        </w:rPr>
        <w:t xml:space="preserve"> and Knowledge Discovery</w:t>
      </w:r>
      <w:r>
        <w:rPr>
          <w:rFonts w:eastAsia="等线" w:ascii="Arial" w:cs="Arial" w:hAnsi="Arial"/>
          <w:sz w:val="22"/>
        </w:rPr>
        <w:t xml:space="preserve"> 33, 期 4 (2019年7月1日): 917–63. </w:t>
      </w:r>
      <w:hyperlink r:id="rId8">
        <w:r>
          <w:rPr>
            <w:rFonts w:eastAsia="等线" w:ascii="Arial" w:cs="Arial" w:hAnsi="Arial"/>
            <w:color w:val="3370ff"/>
            <w:sz w:val="22"/>
          </w:rPr>
          <w:t>https://doi.org/10.1007/s10618-019-00619-1</w:t>
        </w:r>
      </w:hyperlink>
      <w:r>
        <w:rPr>
          <w:rFonts w:eastAsia="等线" w:ascii="Arial" w:cs="Arial" w:hAnsi="Arial"/>
          <w:sz w:val="22"/>
        </w:rPr>
        <w:t>.</w:t>
      </w:r>
    </w:p>
    <w:p>
      <w:pPr>
        <w:spacing w:before="120" w:after="120" w:line="288" w:lineRule="auto"/>
        <w:ind w:left="0" w:firstLine="0"/>
        <w:jc w:val="left"/>
      </w:pPr>
      <w:r>
        <w:rPr>
          <w:rFonts w:eastAsia="等线" w:ascii="Arial" w:cs="Arial" w:hAnsi="Arial"/>
          <w:sz w:val="22"/>
        </w:rPr>
        <w:t xml:space="preserve">[15] Karim, Fazle, Somshubra Majumdar, Houshang Darabi和Samuel Harford. 《Multivariate LSTM-FCNs for </w:t>
      </w:r>
      <w:r>
        <w:rPr>
          <w:rFonts w:eastAsia="等线" w:ascii="Arial" w:cs="Arial" w:hAnsi="Arial"/>
          <w:sz w:val="22"/>
        </w:rPr>
        <w:t>Time Series</w:t>
      </w:r>
      <w:r>
        <w:rPr>
          <w:rFonts w:eastAsia="等线" w:ascii="Arial" w:cs="Arial" w:hAnsi="Arial"/>
          <w:sz w:val="22"/>
        </w:rPr>
        <w:t xml:space="preserve"> Classification》. </w:t>
      </w:r>
      <w:r>
        <w:rPr>
          <w:rFonts w:eastAsia="等线" w:ascii="Arial" w:cs="Arial" w:hAnsi="Arial"/>
          <w:i w:val="true"/>
          <w:sz w:val="22"/>
        </w:rPr>
        <w:t>Neural Networks</w:t>
      </w:r>
      <w:r>
        <w:rPr>
          <w:rFonts w:eastAsia="等线" w:ascii="Arial" w:cs="Arial" w:hAnsi="Arial"/>
          <w:sz w:val="22"/>
        </w:rPr>
        <w:t xml:space="preserve"> 116 (2019年8月): 237–45. </w:t>
      </w:r>
      <w:hyperlink r:id="rId9">
        <w:r>
          <w:rPr>
            <w:rFonts w:eastAsia="等线" w:ascii="Arial" w:cs="Arial" w:hAnsi="Arial"/>
            <w:color w:val="3370ff"/>
            <w:sz w:val="22"/>
          </w:rPr>
          <w:t>https://doi.org/10.1016/j.neunet.2019.04.014</w:t>
        </w:r>
      </w:hyperlink>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[16] Liang Wang, Ying </w:t>
      </w:r>
      <w:r>
        <w:rPr>
          <w:rFonts w:eastAsia="等线" w:ascii="Arial" w:cs="Arial" w:hAnsi="Arial"/>
          <w:sz w:val="22"/>
        </w:rPr>
        <w:t>Li</w:t>
      </w:r>
      <w:r>
        <w:rPr>
          <w:rFonts w:eastAsia="等线" w:ascii="Arial" w:cs="Arial" w:hAnsi="Arial"/>
          <w:sz w:val="22"/>
        </w:rPr>
        <w:t xml:space="preserve">, Jierui Zhang, and Xianping Tao. 2022. Quantifying community evolution in developer social networks. In Proceedings of the 30th </w:t>
      </w:r>
      <w:r>
        <w:rPr>
          <w:rFonts w:eastAsia="等线" w:ascii="Arial" w:cs="Arial" w:hAnsi="Arial"/>
          <w:sz w:val="22"/>
        </w:rPr>
        <w:t>ACM</w:t>
      </w:r>
      <w:r>
        <w:rPr>
          <w:rFonts w:eastAsia="等线" w:ascii="Arial" w:cs="Arial" w:hAnsi="Arial"/>
          <w:sz w:val="22"/>
        </w:rPr>
        <w:t xml:space="preserve"> Joint European </w:t>
      </w:r>
      <w:r>
        <w:rPr>
          <w:rFonts w:eastAsia="等线" w:ascii="Arial" w:cs="Arial" w:hAnsi="Arial"/>
          <w:sz w:val="22"/>
        </w:rPr>
        <w:t>Software Engineering</w:t>
      </w:r>
      <w:r>
        <w:rPr>
          <w:rFonts w:eastAsia="等线" w:ascii="Arial" w:cs="Arial" w:hAnsi="Arial"/>
          <w:sz w:val="22"/>
        </w:rPr>
        <w:t xml:space="preserve"> Conference and Symposium on the Foundations of Software Engineering (ESEC/</w:t>
      </w:r>
      <w:r>
        <w:rPr>
          <w:rFonts w:eastAsia="等线" w:ascii="Arial" w:cs="Arial" w:hAnsi="Arial"/>
          <w:sz w:val="22"/>
        </w:rPr>
        <w:t>FSE</w:t>
      </w:r>
      <w:r>
        <w:rPr>
          <w:rFonts w:eastAsia="等线" w:ascii="Arial" w:cs="Arial" w:hAnsi="Arial"/>
          <w:sz w:val="22"/>
        </w:rPr>
        <w:t xml:space="preserve"> 2022). </w:t>
      </w:r>
      <w:r>
        <w:rPr>
          <w:rFonts w:eastAsia="等线" w:ascii="Arial" w:cs="Arial" w:hAnsi="Arial"/>
          <w:sz w:val="22"/>
        </w:rPr>
        <w:t>Association for Computing Machinery</w:t>
      </w:r>
      <w:r>
        <w:rPr>
          <w:rFonts w:eastAsia="等线" w:ascii="Arial" w:cs="Arial" w:hAnsi="Arial"/>
          <w:sz w:val="22"/>
        </w:rPr>
        <w:t xml:space="preserve">, </w:t>
      </w:r>
      <w:r>
        <w:rPr>
          <w:rFonts w:eastAsia="等线" w:ascii="Arial" w:cs="Arial" w:hAnsi="Arial"/>
          <w:sz w:val="22"/>
        </w:rPr>
        <w:t>New York</w:t>
      </w:r>
      <w:r>
        <w:rPr>
          <w:rFonts w:eastAsia="等线" w:ascii="Arial" w:cs="Arial" w:hAnsi="Arial"/>
          <w:sz w:val="22"/>
        </w:rPr>
        <w:t xml:space="preserve">, </w:t>
      </w:r>
      <w:r>
        <w:rPr>
          <w:rFonts w:eastAsia="等线" w:ascii="Arial" w:cs="Arial" w:hAnsi="Arial"/>
          <w:sz w:val="22"/>
        </w:rPr>
        <w:t>NY</w:t>
      </w:r>
      <w:r>
        <w:rPr>
          <w:rFonts w:eastAsia="等线" w:ascii="Arial" w:cs="Arial" w:hAnsi="Arial"/>
          <w:sz w:val="22"/>
        </w:rPr>
        <w:t xml:space="preserve">, USA, 157–169. </w:t>
      </w:r>
      <w:r>
        <w:rPr>
          <w:rFonts w:eastAsia="等线" w:ascii="Arial" w:cs="Arial" w:hAnsi="Arial"/>
          <w:sz w:val="22"/>
        </w:rPr>
        <w:t>https://doi.org/10.1145/3540250.3549106</w:t>
      </w:r>
    </w:p>
    <w:p>
      <w:pPr>
        <w:spacing w:before="120" w:after="120" w:line="288" w:lineRule="auto"/>
        <w:ind w:left="0"/>
        <w:jc w:val="left"/>
      </w:pPr>
      <w:r>
        <w:rPr>
          <w:rFonts w:eastAsia="等线" w:ascii="Arial" w:cs="Arial" w:hAnsi="Arial"/>
          <w:sz w:val="22"/>
        </w:rPr>
        <w:t xml:space="preserve">[17] Zhang, J., Wang, L., Zheng, Z., Tao, X. (2022).  Social Community  Evolution Analysis and Visualization in </w:t>
      </w:r>
      <w:r>
        <w:rPr>
          <w:rFonts w:eastAsia="等线" w:ascii="Arial" w:cs="Arial" w:hAnsi="Arial"/>
          <w:sz w:val="22"/>
        </w:rPr>
        <w:t>Open Source Software</w:t>
      </w:r>
      <w:r>
        <w:rPr>
          <w:rFonts w:eastAsia="等线" w:ascii="Arial" w:cs="Arial" w:hAnsi="Arial"/>
          <w:sz w:val="22"/>
        </w:rPr>
        <w:t xml:space="preserve"> Projects. In: Chbeir, R., Huang, H., Silvestri, F.,  Manolopoulos, Y., Zhang, Y. (eds) Web Information Systems Engineering –  WISE 2022. WISE 2022. Lecture Notes in </w:t>
      </w:r>
      <w:r>
        <w:rPr>
          <w:rFonts w:eastAsia="等线" w:ascii="Arial" w:cs="Arial" w:hAnsi="Arial"/>
          <w:sz w:val="22"/>
        </w:rPr>
        <w:t>Computer Science</w:t>
      </w:r>
      <w:r>
        <w:rPr>
          <w:rFonts w:eastAsia="等线" w:ascii="Arial" w:cs="Arial" w:hAnsi="Arial"/>
          <w:sz w:val="22"/>
        </w:rPr>
        <w:t xml:space="preserve">, vol 13724.  Springer, Cham. </w:t>
      </w:r>
      <w:r>
        <w:rPr>
          <w:rFonts w:eastAsia="等线" w:ascii="Arial" w:cs="Arial" w:hAnsi="Arial"/>
          <w:sz w:val="22"/>
        </w:rPr>
        <w:t>https://doi.org/10.1007/978-3-031-20891-1_4</w:t>
      </w:r>
    </w:p>
    <w:p>
      <w:pPr>
        <w:spacing w:before="120" w:after="120" w:line="288" w:lineRule="auto"/>
        <w:ind w:left="0"/>
        <w:jc w:val="left"/>
      </w:pPr>
      <w:r>
        <w:rPr>
          <w:rFonts w:eastAsia="等线" w:ascii="Arial" w:cs="Arial" w:hAnsi="Arial"/>
          <w:sz w:val="22"/>
        </w:rPr>
        <w:t xml:space="preserve">[18] Raja, Uzma, 和Marietta J. Tretter. 《Defining and Evaluating a Measure of </w:t>
      </w:r>
      <w:r>
        <w:rPr>
          <w:rFonts w:eastAsia="等线" w:ascii="Arial" w:cs="Arial" w:hAnsi="Arial"/>
          <w:sz w:val="22"/>
        </w:rPr>
        <w:t>Open Source</w:t>
      </w:r>
      <w:r>
        <w:rPr>
          <w:rFonts w:eastAsia="等线" w:ascii="Arial" w:cs="Arial" w:hAnsi="Arial"/>
          <w:sz w:val="22"/>
        </w:rPr>
        <w:t xml:space="preserve"> Project Survivability》. </w:t>
      </w:r>
      <w:r>
        <w:rPr>
          <w:rFonts w:eastAsia="等线" w:ascii="Arial" w:cs="Arial" w:hAnsi="Arial"/>
          <w:i w:val="true"/>
          <w:sz w:val="22"/>
        </w:rPr>
        <w:t>IEEE</w:t>
      </w:r>
      <w:r>
        <w:rPr>
          <w:rFonts w:eastAsia="等线" w:ascii="Arial" w:cs="Arial" w:hAnsi="Arial"/>
          <w:i w:val="true"/>
          <w:sz w:val="22"/>
        </w:rPr>
        <w:t xml:space="preserve"> Transactions on </w:t>
      </w:r>
      <w:r>
        <w:rPr>
          <w:rFonts w:eastAsia="等线" w:ascii="Arial" w:cs="Arial" w:hAnsi="Arial"/>
          <w:i w:val="true"/>
          <w:sz w:val="22"/>
        </w:rPr>
        <w:t>Software Engineering</w:t>
      </w:r>
      <w:r>
        <w:rPr>
          <w:rFonts w:eastAsia="等线" w:ascii="Arial" w:cs="Arial" w:hAnsi="Arial"/>
          <w:sz w:val="22"/>
        </w:rPr>
        <w:t xml:space="preserve"> 38, 期 1 (2012年1月): 163–74. </w:t>
      </w:r>
      <w:hyperlink r:id="rId10">
        <w:r>
          <w:rPr>
            <w:rFonts w:eastAsia="等线" w:ascii="Arial" w:cs="Arial" w:hAnsi="Arial"/>
            <w:color w:val="3370ff"/>
            <w:sz w:val="22"/>
          </w:rPr>
          <w:t>https://doi.org/10.1109/TSE.2011.39</w:t>
        </w:r>
      </w:hyperlink>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[19] Wang, Ping, Yan </w:t>
      </w:r>
      <w:r>
        <w:rPr>
          <w:rFonts w:eastAsia="等线" w:ascii="Arial" w:cs="Arial" w:hAnsi="Arial"/>
          <w:sz w:val="22"/>
        </w:rPr>
        <w:t>Li</w:t>
      </w:r>
      <w:r>
        <w:rPr>
          <w:rFonts w:eastAsia="等线" w:ascii="Arial" w:cs="Arial" w:hAnsi="Arial"/>
          <w:sz w:val="22"/>
        </w:rPr>
        <w:t>和Chandan K. Reddy. 《</w:t>
      </w:r>
      <w:r>
        <w:rPr>
          <w:rFonts w:eastAsia="等线" w:ascii="Arial" w:cs="Arial" w:hAnsi="Arial"/>
          <w:sz w:val="22"/>
        </w:rPr>
        <w:t>Machine learning</w:t>
      </w:r>
      <w:r>
        <w:rPr>
          <w:rFonts w:eastAsia="等线" w:ascii="Arial" w:cs="Arial" w:hAnsi="Arial"/>
          <w:sz w:val="22"/>
        </w:rPr>
        <w:t xml:space="preserve"> for survival analysis: A survey》. </w:t>
      </w:r>
      <w:r>
        <w:rPr>
          <w:rFonts w:eastAsia="等线" w:ascii="Arial" w:cs="Arial" w:hAnsi="Arial"/>
          <w:i w:val="true"/>
          <w:sz w:val="22"/>
        </w:rPr>
        <w:t>Acm</w:t>
      </w:r>
      <w:r>
        <w:rPr>
          <w:rFonts w:eastAsia="等线" w:ascii="Arial" w:cs="Arial" w:hAnsi="Arial"/>
          <w:i w:val="true"/>
          <w:sz w:val="22"/>
        </w:rPr>
        <w:t xml:space="preserve"> Computing Surveys</w:t>
      </w:r>
      <w:r>
        <w:rPr>
          <w:rFonts w:eastAsia="等线" w:ascii="Arial" w:cs="Arial" w:hAnsi="Arial"/>
          <w:sz w:val="22"/>
        </w:rPr>
        <w:t xml:space="preserve"> 51, 期 6 (2019年2月). </w:t>
      </w:r>
      <w:hyperlink r:id="rId11">
        <w:r>
          <w:rPr>
            <w:rFonts w:eastAsia="等线" w:ascii="Arial" w:cs="Arial" w:hAnsi="Arial"/>
            <w:color w:val="3370ff"/>
            <w:sz w:val="22"/>
          </w:rPr>
          <w:t>https://doi.org/10.1145/3214306</w:t>
        </w:r>
      </w:hyperlink>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[20] Bagnall A, Janacek G (2014) A run length transformation for discriminating between </w:t>
      </w:r>
      <w:r>
        <w:rPr>
          <w:rFonts w:eastAsia="等线" w:ascii="Arial" w:cs="Arial" w:hAnsi="Arial"/>
          <w:sz w:val="22"/>
        </w:rPr>
        <w:t>autoregressive</w:t>
      </w:r>
      <w:r>
        <w:rPr>
          <w:rFonts w:eastAsia="等线" w:ascii="Arial" w:cs="Arial" w:hAnsi="Arial"/>
          <w:sz w:val="22"/>
        </w:rPr>
        <w:t xml:space="preserve"> </w:t>
      </w:r>
      <w:r>
        <w:rPr>
          <w:rFonts w:eastAsia="等线" w:ascii="Arial" w:cs="Arial" w:hAnsi="Arial"/>
          <w:sz w:val="22"/>
        </w:rPr>
        <w:t>time series</w:t>
      </w:r>
      <w:r>
        <w:rPr>
          <w:rFonts w:eastAsia="等线" w:ascii="Arial" w:cs="Arial" w:hAnsi="Arial"/>
          <w:sz w:val="22"/>
        </w:rPr>
        <w:t>. J Classif 31(2):274–295</w:t>
      </w:r>
    </w:p>
    <w:p>
      <w:pPr>
        <w:spacing w:before="120" w:after="120" w:line="288" w:lineRule="auto"/>
        <w:ind w:left="0"/>
        <w:jc w:val="left"/>
      </w:pPr>
      <w:r>
        <w:rPr>
          <w:rFonts w:eastAsia="等线" w:ascii="Arial" w:cs="Arial" w:hAnsi="Arial"/>
          <w:sz w:val="22"/>
        </w:rPr>
        <w:t xml:space="preserve">[21] Smyth P (1997) </w:t>
      </w:r>
      <w:r>
        <w:rPr>
          <w:rFonts w:eastAsia="等线" w:ascii="Arial" w:cs="Arial" w:hAnsi="Arial"/>
          <w:sz w:val="22"/>
        </w:rPr>
        <w:t>Clustering</w:t>
      </w:r>
      <w:r>
        <w:rPr>
          <w:rFonts w:eastAsia="等线" w:ascii="Arial" w:cs="Arial" w:hAnsi="Arial"/>
          <w:sz w:val="22"/>
        </w:rPr>
        <w:t xml:space="preserve"> sequences with hidden Markov models. </w:t>
      </w:r>
      <w:r>
        <w:rPr>
          <w:rFonts w:eastAsia="等线" w:ascii="Arial" w:cs="Arial" w:hAnsi="Arial"/>
          <w:sz w:val="22"/>
        </w:rPr>
        <w:t>Adv</w:t>
      </w:r>
      <w:r>
        <w:rPr>
          <w:rFonts w:eastAsia="等线" w:ascii="Arial" w:cs="Arial" w:hAnsi="Arial"/>
          <w:sz w:val="22"/>
        </w:rPr>
        <w:t xml:space="preserve"> Neural </w:t>
      </w:r>
      <w:r>
        <w:rPr>
          <w:rFonts w:eastAsia="等线" w:ascii="Arial" w:cs="Arial" w:hAnsi="Arial"/>
          <w:sz w:val="22"/>
        </w:rPr>
        <w:t>Inf</w:t>
      </w:r>
      <w:r>
        <w:rPr>
          <w:rFonts w:eastAsia="等线" w:ascii="Arial" w:cs="Arial" w:hAnsi="Arial"/>
          <w:sz w:val="22"/>
        </w:rPr>
        <w:t xml:space="preserve"> Process Syst 9:648–654 Sun R, Luo ZQ (2016) Guaranteed matrix completion via non-convex </w:t>
      </w:r>
      <w:r>
        <w:rPr>
          <w:rFonts w:eastAsia="等线" w:ascii="Arial" w:cs="Arial" w:hAnsi="Arial"/>
          <w:sz w:val="22"/>
        </w:rPr>
        <w:t>factorization</w:t>
      </w:r>
      <w:r>
        <w:rPr>
          <w:rFonts w:eastAsia="等线" w:ascii="Arial" w:cs="Arial" w:hAnsi="Arial"/>
          <w:sz w:val="22"/>
        </w:rPr>
        <w:t>. IEEE Trans Inf Theory 62(11):6535–6579</w:t>
      </w:r>
    </w:p>
    <w:p>
      <w:pPr>
        <w:spacing w:before="120" w:after="120" w:line="288" w:lineRule="auto"/>
        <w:ind w:left="0"/>
        <w:jc w:val="left"/>
      </w:pPr>
      <w:r>
        <w:rPr>
          <w:rFonts w:eastAsia="等线" w:ascii="Arial" w:cs="Arial" w:hAnsi="Arial"/>
          <w:sz w:val="22"/>
        </w:rPr>
        <w:t xml:space="preserve">[22] Krizhevsky A, Sutskever I, Hinton GE (2012) </w:t>
      </w:r>
      <w:r>
        <w:rPr>
          <w:rFonts w:eastAsia="等线" w:ascii="Arial" w:cs="Arial" w:hAnsi="Arial"/>
          <w:sz w:val="22"/>
        </w:rPr>
        <w:t>ImageNet</w:t>
      </w:r>
      <w:r>
        <w:rPr>
          <w:rFonts w:eastAsia="等线" w:ascii="Arial" w:cs="Arial" w:hAnsi="Arial"/>
          <w:sz w:val="22"/>
        </w:rPr>
        <w:t xml:space="preserve"> classification with deep convolutional </w:t>
      </w:r>
      <w:r>
        <w:rPr>
          <w:rFonts w:eastAsia="等线" w:ascii="Arial" w:cs="Arial" w:hAnsi="Arial"/>
          <w:sz w:val="22"/>
        </w:rPr>
        <w:t>neural networks</w:t>
      </w:r>
      <w:r>
        <w:rPr>
          <w:rFonts w:eastAsia="等线" w:ascii="Arial" w:cs="Arial" w:hAnsi="Arial"/>
          <w:sz w:val="22"/>
        </w:rPr>
        <w:t>. In: Advances in neural information processing systems vol 25, pp 1097–1105</w:t>
      </w:r>
    </w:p>
    <w:p>
      <w:pPr>
        <w:spacing w:before="120" w:after="120" w:line="288" w:lineRule="auto"/>
        <w:ind w:left="0"/>
        <w:jc w:val="left"/>
      </w:pPr>
      <w:r>
        <w:rPr>
          <w:rFonts w:eastAsia="等线" w:ascii="Arial" w:cs="Arial" w:hAnsi="Arial"/>
          <w:sz w:val="22"/>
        </w:rPr>
        <w:t>[23] LeCun Y, Bengio Y, Hinton G (2015) Deep learning. Nature 521:436–444</w:t>
      </w:r>
    </w:p>
    <w:p>
      <w:pPr>
        <w:spacing w:before="120" w:after="120" w:line="288" w:lineRule="auto"/>
        <w:ind w:left="0"/>
        <w:jc w:val="left"/>
      </w:pPr>
      <w:r>
        <w:rPr>
          <w:rFonts w:eastAsia="等线" w:ascii="Arial" w:cs="Arial" w:hAnsi="Arial"/>
          <w:sz w:val="22"/>
        </w:rPr>
        <w:t xml:space="preserve">[24] Szegedy C, Liu W, Jia Y, Sermanet P, Reed S, Anguelov D, Erhan D, Vanhoucke V, Rabinovich A (2015) Going deeper with convolutions. In: IEEE conference on </w:t>
      </w:r>
      <w:r>
        <w:rPr>
          <w:rFonts w:eastAsia="等线" w:ascii="Arial" w:cs="Arial" w:hAnsi="Arial"/>
          <w:sz w:val="22"/>
        </w:rPr>
        <w:t>computer vision and pattern recognition</w:t>
      </w:r>
      <w:r>
        <w:rPr>
          <w:rFonts w:eastAsia="等线" w:ascii="Arial" w:cs="Arial" w:hAnsi="Arial"/>
          <w:sz w:val="22"/>
        </w:rPr>
        <w:t>, pp 1–9</w:t>
      </w:r>
    </w:p>
    <w:p>
      <w:pPr>
        <w:spacing w:before="120" w:after="120" w:line="288" w:lineRule="auto"/>
        <w:ind w:left="0"/>
        <w:jc w:val="left"/>
      </w:pPr>
      <w:r>
        <w:rPr>
          <w:rFonts w:eastAsia="等线" w:ascii="Arial" w:cs="Arial" w:hAnsi="Arial"/>
          <w:sz w:val="22"/>
        </w:rPr>
        <w:t xml:space="preserve">[25] Sutskever I, Vinyals O, Le QV (2014) Sequence to sequence learning with </w:t>
      </w:r>
      <w:r>
        <w:rPr>
          <w:rFonts w:eastAsia="等线" w:ascii="Arial" w:cs="Arial" w:hAnsi="Arial"/>
          <w:sz w:val="22"/>
        </w:rPr>
        <w:t>neural networks</w:t>
      </w:r>
      <w:r>
        <w:rPr>
          <w:rFonts w:eastAsia="等线" w:ascii="Arial" w:cs="Arial" w:hAnsi="Arial"/>
          <w:sz w:val="22"/>
        </w:rPr>
        <w:t>. In: Neural information processing systems, pp 3104–3112</w:t>
      </w:r>
    </w:p>
    <w:p>
      <w:pPr>
        <w:spacing w:before="120" w:after="120" w:line="288" w:lineRule="auto"/>
        <w:ind w:left="0"/>
        <w:jc w:val="left"/>
      </w:pPr>
      <w:r>
        <w:rPr>
          <w:rFonts w:eastAsia="等线" w:ascii="Arial" w:cs="Arial" w:hAnsi="Arial"/>
          <w:sz w:val="22"/>
        </w:rPr>
        <w:t xml:space="preserve">[26] Bahdanau D, Cho K, Bengio Y (2015) </w:t>
      </w:r>
      <w:r>
        <w:rPr>
          <w:rFonts w:eastAsia="等线" w:ascii="Arial" w:cs="Arial" w:hAnsi="Arial"/>
          <w:sz w:val="22"/>
        </w:rPr>
        <w:t>Neural machine translation</w:t>
      </w:r>
      <w:r>
        <w:rPr>
          <w:rFonts w:eastAsia="等线" w:ascii="Arial" w:cs="Arial" w:hAnsi="Arial"/>
          <w:sz w:val="22"/>
        </w:rPr>
        <w:t xml:space="preserve"> by jointly learning to align and translate. In: International conference on learning representations</w:t>
      </w:r>
    </w:p>
    <w:p>
      <w:pPr>
        <w:spacing w:before="120" w:after="120" w:line="288" w:lineRule="auto"/>
        <w:ind w:left="0"/>
        <w:jc w:val="left"/>
      </w:pPr>
      <w:r>
        <w:rPr>
          <w:rFonts w:eastAsia="等线" w:ascii="Arial" w:cs="Arial" w:hAnsi="Arial"/>
          <w:sz w:val="22"/>
        </w:rPr>
        <w:t xml:space="preserve">[27] Cristian Borges Gamboa J (2017) Deep learning for time-series analysis. </w:t>
      </w:r>
      <w:r>
        <w:rPr>
          <w:rFonts w:eastAsia="等线" w:ascii="Arial" w:cs="Arial" w:hAnsi="Arial"/>
          <w:sz w:val="22"/>
        </w:rPr>
        <w:t>arXiv</w:t>
      </w:r>
      <w:r>
        <w:rPr>
          <w:rFonts w:eastAsia="等线" w:ascii="Arial" w:cs="Arial" w:hAnsi="Arial"/>
          <w:sz w:val="22"/>
        </w:rPr>
        <w:t>:1701.01887</w:t>
      </w:r>
    </w:p>
    <w:p>
      <w:pPr>
        <w:spacing w:before="120" w:after="120" w:line="288" w:lineRule="auto"/>
        <w:ind w:left="0"/>
        <w:jc w:val="left"/>
      </w:pPr>
      <w:r>
        <w:rPr>
          <w:rFonts w:eastAsia="等线" w:ascii="Arial" w:cs="Arial" w:hAnsi="Arial"/>
          <w:sz w:val="22"/>
        </w:rPr>
        <w:t xml:space="preserve">[28] Gallicchio C, Micheli A (2017) Deep echo state network (DeepESN): a brief survey. </w:t>
      </w:r>
      <w:r>
        <w:rPr>
          <w:rFonts w:eastAsia="等线" w:ascii="Arial" w:cs="Arial" w:hAnsi="Arial"/>
          <w:sz w:val="22"/>
        </w:rPr>
        <w:t>arXiv</w:t>
      </w:r>
      <w:r>
        <w:rPr>
          <w:rFonts w:eastAsia="等线" w:ascii="Arial" w:cs="Arial" w:hAnsi="Arial"/>
          <w:sz w:val="22"/>
        </w:rPr>
        <w:t>:1712.04323</w:t>
      </w:r>
    </w:p>
    <w:sectPr>
      <w:footerReference w:type="default" r:id="rId3"/>
      <w:headerReference w:type="default" r:id="rId12"/>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56698">
    <w:lvl>
      <w:numFmt w:val="bullet"/>
      <w:suff w:val="tab"/>
      <w:lvlText w:val="•"/>
      <w:rPr>
        <w:color w:val="3370ff"/>
      </w:rPr>
    </w:lvl>
  </w:abstractNum>
  <w:abstractNum w:abstractNumId="156699">
    <w:lvl>
      <w:numFmt w:val="bullet"/>
      <w:suff w:val="tab"/>
      <w:lvlText w:val="•"/>
      <w:rPr>
        <w:color w:val="3370ff"/>
      </w:rPr>
    </w:lvl>
  </w:abstractNum>
  <w:abstractNum w:abstractNumId="156700">
    <w:lvl>
      <w:numFmt w:val="bullet"/>
      <w:suff w:val="tab"/>
      <w:lvlText w:val="•"/>
      <w:rPr>
        <w:color w:val="3370ff"/>
      </w:rPr>
    </w:lvl>
  </w:abstractNum>
  <w:abstractNum w:abstractNumId="156701">
    <w:lvl>
      <w:numFmt w:val="bullet"/>
      <w:suff w:val="tab"/>
      <w:lvlText w:val="•"/>
      <w:rPr>
        <w:color w:val="3370ff"/>
      </w:rPr>
    </w:lvl>
  </w:abstractNum>
  <w:abstractNum w:abstractNumId="156702">
    <w:lvl>
      <w:numFmt w:val="bullet"/>
      <w:suff w:val="tab"/>
      <w:lvlText w:val="•"/>
      <w:rPr>
        <w:color w:val="3370ff"/>
      </w:rPr>
    </w:lvl>
  </w:abstractNum>
  <w:abstractNum w:abstractNumId="156703">
    <w:lvl>
      <w:numFmt w:val="bullet"/>
      <w:suff w:val="tab"/>
      <w:lvlText w:val="•"/>
      <w:rPr>
        <w:color w:val="3370ff"/>
      </w:rPr>
    </w:lvl>
  </w:abstractNum>
  <w:abstractNum w:abstractNumId="156704">
    <w:lvl>
      <w:numFmt w:val="bullet"/>
      <w:suff w:val="tab"/>
      <w:lvlText w:val="•"/>
      <w:rPr>
        <w:color w:val="3370ff"/>
      </w:rPr>
    </w:lvl>
  </w:abstractNum>
  <w:abstractNum w:abstractNumId="156705">
    <w:lvl>
      <w:numFmt w:val="bullet"/>
      <w:suff w:val="tab"/>
      <w:lvlText w:val="•"/>
      <w:rPr>
        <w:color w:val="3370ff"/>
      </w:rPr>
    </w:lvl>
  </w:abstractNum>
  <w:abstractNum w:abstractNumId="156706">
    <w:lvl>
      <w:numFmt w:val="bullet"/>
      <w:suff w:val="tab"/>
      <w:lvlText w:val="•"/>
      <w:rPr>
        <w:color w:val="3370ff"/>
      </w:rPr>
    </w:lvl>
  </w:abstractNum>
  <w:abstractNum w:abstractNumId="156707">
    <w:lvl>
      <w:numFmt w:val="bullet"/>
      <w:suff w:val="tab"/>
      <w:lvlText w:val="•"/>
      <w:rPr>
        <w:color w:val="3370ff"/>
      </w:rPr>
    </w:lvl>
  </w:abstractNum>
  <w:abstractNum w:abstractNumId="156708">
    <w:lvl>
      <w:numFmt w:val="bullet"/>
      <w:suff w:val="tab"/>
      <w:lvlText w:val="•"/>
      <w:rPr>
        <w:color w:val="3370ff"/>
      </w:rPr>
    </w:lvl>
  </w:abstractNum>
  <w:num w:numId="1">
    <w:abstractNumId w:val="156698"/>
  </w:num>
  <w:num w:numId="2">
    <w:abstractNumId w:val="156699"/>
  </w:num>
  <w:num w:numId="3">
    <w:abstractNumId w:val="156700"/>
  </w:num>
  <w:num w:numId="4">
    <w:abstractNumId w:val="156701"/>
  </w:num>
  <w:num w:numId="5">
    <w:abstractNumId w:val="156702"/>
  </w:num>
  <w:num w:numId="6">
    <w:abstractNumId w:val="156703"/>
  </w:num>
  <w:num w:numId="7">
    <w:abstractNumId w:val="156704"/>
  </w:num>
  <w:num w:numId="8">
    <w:abstractNumId w:val="156705"/>
  </w:num>
  <w:num w:numId="9">
    <w:abstractNumId w:val="156706"/>
  </w:num>
  <w:num w:numId="10">
    <w:abstractNumId w:val="156707"/>
  </w:num>
  <w:num w:numId="11">
    <w:abstractNumId w:val="156708"/>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ttps://doi.org/10.1109/TSE.2011.39" TargetMode="External" Type="http://schemas.openxmlformats.org/officeDocument/2006/relationships/hyperlink"/><Relationship Id="rId11" Target="https://doi.org/10.1145/3214306" TargetMode="External" Type="http://schemas.openxmlformats.org/officeDocument/2006/relationships/hyperlink"/><Relationship Id="rId12"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https://doi.org/10.1109/ICGSE.2017.11" TargetMode="External" Type="http://schemas.openxmlformats.org/officeDocument/2006/relationships/hyperlink"/><Relationship Id="rId8" Target="https://doi.org/10.1007/s10618-019-00619-1" TargetMode="External" Type="http://schemas.openxmlformats.org/officeDocument/2006/relationships/hyperlink"/><Relationship Id="rId9" Target="https://doi.org/10.1016/j.neunet.2019.04.014"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2023-07-04T08:03:23Z</dcterms:created>
  <dc:creator>Apache POI</dc:creator>
</cp:coreProperties>
</file>