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0F1B2B"/>
          <w:sz w:val="72"/>
          <w:szCs w:val="72"/>
        </w:rPr>
        <w:t xml:space="preserve">OctaPoint</w:t>
      </w:r>
    </w:p>
    <w:p>
      <w:pPr>
        <w:spacing w:after="100" w:before="200"/>
        <w:jc w:val="center"/>
      </w:pPr>
      <w:r>
        <w:rPr>
          <w:color w:val="1F6F5C"/>
          <w:sz w:val="32"/>
          <w:szCs w:val="32"/>
        </w:rPr>
        <w:t xml:space="preserve">Web3 Sequence Diagrams &amp; Move Setup Guide</w:t>
      </w:r>
    </w:p>
    <w:p>
      <w:pPr>
        <w:spacing w:before="60"/>
        <w:jc w:val="center"/>
      </w:pPr>
      <w:r>
        <w:rPr>
          <w:i/>
          <w:iCs/>
          <w:color w:val="5A6472"/>
          <w:sz w:val="20"/>
          <w:szCs w:val="20"/>
        </w:rPr>
        <w:t xml:space="preserve">Blockchain-Backed Credit-as-a-Service Platform with Developer SDKs and AI-Ready MCP Integration</w:t>
      </w:r>
    </w:p>
    <w:p>
      <w:pPr>
        <w:spacing w:before="1400"/>
        <w:jc w:val="center"/>
      </w:pPr>
      <w:r>
        <w:rPr>
          <w:color w:val="5A6472"/>
          <w:sz w:val="20"/>
          <w:szCs w:val="20"/>
        </w:rPr>
        <w:t xml:space="preserve">System Architecture &amp; Detail Design Documentation</w:t>
      </w:r>
    </w:p>
    <w:p>
      <w:pPr>
        <w:spacing w:before="40"/>
        <w:jc w:val="center"/>
      </w:pPr>
      <w:r>
        <w:rPr>
          <w:color w:val="5A6472"/>
          <w:sz w:val="20"/>
          <w:szCs w:val="20"/>
        </w:rPr>
        <w:t xml:space="preserve">Task Package 5 — System Documentation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0F1B2B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0F1B2B"/>
        </w:rPr>
        <w:t xml:space="preserve">1. Introduction</w:t>
      </w:r>
    </w:p>
    <w:p>
      <w:pPr>
        <w:spacing w:after="180" w:line="300"/>
      </w:pPr>
      <w:r>
        <w:rPr>
          <w:color w:val="0F1B2B"/>
        </w:rPr>
        <w:t xml:space="preserve">This document is part of OctaPoint's system documentation deliverables and covers two things: (1) UML 2.0 sequence diagrams for the platform's core Web3 flows — merchant onboarding, walletless authentication, gasless credit issuance/redemption, AI-agent-triggered operations via the MCP Server, and the anti-fraud rejection paths — and (2) a step-by-step guide for setting up, building, testing, and deploying the Sui Move smart contract that backs the credit ledger.</w:t>
      </w:r>
    </w:p>
    <w:p>
      <w:pPr>
        <w:spacing w:after="180" w:line="300"/>
      </w:pPr>
      <w:r>
        <w:rPr>
          <w:color w:val="0F1B2B"/>
        </w:rPr>
        <w:t xml:space="preserve">The diagrams describe both the off-chain fast path (Postgres + Redis, used for the sub-100ms POS checkout requirement) and the on-chain settlement path (Sui Move contract, used for tamper-proof audit and cross-party dispute resolution), and how the two stay consistent.</w:t>
      </w:r>
    </w:p>
    <w:p>
      <w:pPr>
        <w:pStyle w:val="Heading2"/>
        <w:spacing w:after="160" w:before="360"/>
      </w:pPr>
      <w:r>
        <w:rPr>
          <w:b/>
          <w:bCs/>
          <w:color w:val="0F1B2B"/>
        </w:rPr>
        <w:t xml:space="preserve">1.1 Related documents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User Requirement Document (URD) &amp; Software Requirement Specification (SRS)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System Architecture &amp; Detail Design Document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Database Schema &amp; Move Smart Contract Specification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SDK &amp; MCP Integration Guide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Test Plan, Installation Guide, and User Manuals</w:t>
      </w:r>
    </w:p>
    <w:p>
      <w:pPr>
        <w:pStyle w:val="Heading1"/>
        <w:spacing w:after="200" w:before="480"/>
      </w:pPr>
      <w:r>
        <w:rPr>
          <w:b/>
          <w:bCs/>
          <w:color w:val="0F1B2B"/>
        </w:rPr>
        <w:t xml:space="preserve">2. Web3 Sequence Diagrams</w:t>
      </w:r>
    </w:p>
    <w:p>
      <w:pPr>
        <w:spacing w:after="180" w:line="300"/>
      </w:pPr>
      <w:r>
        <w:rPr>
          <w:color w:val="0F1B2B"/>
        </w:rPr>
        <w:t xml:space="preserve">Each diagram below follows UML 2.0 sequence diagram conventions: solid arrows are synchronous calls, dashed arrows are returns/responses, and shaded frames denote alt (conditional branch) and par (parallel/async) combined fragments.</w:t>
      </w:r>
    </w:p>
    <w:p>
      <w:pPr>
        <w:pStyle w:val="Heading2"/>
        <w:spacing w:after="160" w:before="360"/>
      </w:pPr>
      <w:r>
        <w:rPr>
          <w:b/>
          <w:bCs/>
          <w:color w:val="0F1B2B"/>
        </w:rPr>
        <w:t xml:space="preserve">2.1 Merchant Onboarding &amp; On-Chain Treasury Creation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435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6472"/>
          <w:sz w:val="18"/>
          <w:szCs w:val="18"/>
        </w:rPr>
        <w:t xml:space="preserve">Figure 2.1 — Platform admin onboards a merchant; a shared Treasury object and a MerchantCap are created on-chain.</w:t>
      </w:r>
    </w:p>
    <w:p>
      <w:pPr>
        <w:pStyle w:val="Heading3"/>
        <w:spacing w:after="120" w:before="260"/>
      </w:pPr>
      <w:r>
        <w:rPr>
          <w:b/>
          <w:bCs/>
          <w:color w:val="1F6F5C"/>
        </w:rPr>
        <w:t xml:space="preserve">Actors &amp; components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single" w:color="DAD3C2" w:sz="4"/>
          <w:insideV w:val="single" w:color="DAD3C2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 / Component</w:t>
            </w:r>
          </w:p>
        </w:tc>
        <w:tc>
          <w:tcPr>
            <w:tcW w:type="dxa" w:w="69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the flow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Operator approving new merchants via the Admin Portal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Admin Portal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Next.js operator console (apps/admin-portal)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Hono service orchestrating the onboarding workflow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Postgres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Off-chain system of record for merchant/tenant metadata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Sui Move Contract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octapoint::credit — onboard_merchant entry function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F6F5C"/>
        </w:rPr>
        <w:t xml:space="preserve">Narrative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1.	</w:t>
      </w:r>
      <w:r>
        <w:rPr>
          <w:color w:val="0F1B2B"/>
        </w:rPr>
        <w:t xml:space="preserve">The admin submits the merchant onboarding form (name, earn/redeem basis points) from the Admin Portal.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2.	</w:t>
      </w:r>
      <w:r>
        <w:rPr>
          <w:color w:val="0F1B2B"/>
        </w:rPr>
        <w:t xml:space="preserve">The API Gateway creates a Merchant row in Postgres with status PENDING and returns the merchant id.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3.	</w:t>
      </w:r>
      <w:r>
        <w:rPr>
          <w:color w:val="0F1B2B"/>
        </w:rPr>
        <w:t xml:space="preserve">Once reviewed, the admin activates the merchant; the gateway updates the status to ACTIVE.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4.	</w:t>
      </w:r>
      <w:r>
        <w:rPr>
          <w:color w:val="0F1B2B"/>
        </w:rPr>
        <w:t xml:space="preserve">The gateway calls onboard_merchant on the Move contract using the platform's AdminCap, which creates a shared Treasury object scoped to that merchant and mints a MerchantCap transferred to the merchant's address.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5.	</w:t>
      </w:r>
      <w:r>
        <w:rPr>
          <w:color w:val="0F1B2B"/>
        </w:rPr>
        <w:t xml:space="preserve">The resulting treasury object id is written back to Postgres (Merchant.treasuryObjectId) so later issue/redeem calls know which on-chain object to target.</w:t>
      </w:r>
    </w:p>
    <w:p>
      <w:pPr>
        <w:spacing w:before="120"/>
      </w:pPr>
    </w:p>
    <w:tbl>
      <w:tblPr>
        <w:tblW w:type="pct" w:w="100%"/>
        <w:tblBorders>
          <w:top w:val="single" w:color="1F6F5C" w:sz="4"/>
          <w:left w:val="single" w:color="1F6F5C" w:sz="24"/>
          <w:bottom w:val="single" w:color="1F6F5C" w:sz="4"/>
          <w:right w:val="single" w:color="1F6F5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A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Capability-gated by design</w:t>
            </w:r>
          </w:p>
          <w:p>
            <w:pPr>
              <w:spacing w:after="0" w:line="280"/>
            </w:pPr>
            <w:r>
              <w:rPr>
                <w:color w:val="0F1B2B"/>
                <w:sz w:val="20"/>
                <w:szCs w:val="20"/>
              </w:rPr>
              <w:t xml:space="preserve">Only the address holding the platform's single AdminCap can create new Treasuries — this is what prevents an unauthorized party from minting a fake merchant treasury.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2.2 Walletless Authentication (zkLogin via Enoki)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6994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6472"/>
          <w:sz w:val="18"/>
          <w:szCs w:val="18"/>
        </w:rPr>
        <w:t xml:space="preserve">Figure 2.2 — An end user signs in with Google and receives a Sui address without ever managing a seed phrase or paying gas.</w:t>
      </w:r>
    </w:p>
    <w:p>
      <w:pPr>
        <w:pStyle w:val="Heading3"/>
        <w:spacing w:after="120" w:before="260"/>
      </w:pPr>
      <w:r>
        <w:rPr>
          <w:b/>
          <w:bCs/>
          <w:color w:val="1F6F5C"/>
        </w:rPr>
        <w:t xml:space="preserve">Actors &amp; components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single" w:color="DAD3C2" w:sz="4"/>
          <w:insideV w:val="single" w:color="DAD3C2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 / Component</w:t>
            </w:r>
          </w:p>
        </w:tc>
        <w:tc>
          <w:tcPr>
            <w:tcW w:type="dxa" w:w="69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the flow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End User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Shopper / loyalty program member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Merchant App / POS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The merchant's own storefront, app, or point-of-sale terminal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Google OAuth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Standard OAuth2 identity provider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Enoki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Mysten Labs' zkLogin + gas station service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Registers the resulting address against a LoyaltyAccount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Sui Network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Executes open_account, fee sponsored by Enoki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F6F5C"/>
        </w:rPr>
        <w:t xml:space="preserve">Narrative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1.	</w:t>
      </w:r>
      <w:r>
        <w:rPr>
          <w:color w:val="0F1B2B"/>
        </w:rPr>
        <w:t xml:space="preserve">The user taps "Continue with Google" inside the merchant's app — no wallet extension or seed phrase is ever presented.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2.	</w:t>
      </w:r>
      <w:r>
        <w:rPr>
          <w:color w:val="0F1B2B"/>
        </w:rPr>
        <w:t xml:space="preserve">The merchant app receives a standard OAuth id_token from Google.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3.	</w:t>
      </w:r>
      <w:r>
        <w:rPr>
          <w:color w:val="0F1B2B"/>
        </w:rPr>
        <w:t xml:space="preserve">Enoki exchanges that id_token for a deterministic zkLogin Sui address (verifying the token against Google's JWKS under the hood).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4.	</w:t>
      </w:r>
      <w:r>
        <w:rPr>
          <w:color w:val="0F1B2B"/>
        </w:rPr>
        <w:t xml:space="preserve">The API Gateway registers the mapping between the merchant's own externalUserId and the derived Sui address, then calls open_account on the Treasury.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5.	</w:t>
      </w:r>
      <w:r>
        <w:rPr>
          <w:color w:val="0F1B2B"/>
        </w:rPr>
        <w:t xml:space="preserve">Enoki's gas station sponsors the transaction fee, so the open_account call — and every later issue/redeem/transfer — is fully gasless from the end user's perspective.</w:t>
      </w:r>
    </w:p>
    <w:p>
      <w:pPr>
        <w:spacing w:before="120"/>
      </w:pPr>
    </w:p>
    <w:tbl>
      <w:tblPr>
        <w:tblW w:type="pct" w:w="100%"/>
        <w:tblBorders>
          <w:top w:val="single" w:color="1F6F5C" w:sz="4"/>
          <w:left w:val="single" w:color="1F6F5C" w:sz="24"/>
          <w:bottom w:val="single" w:color="1F6F5C" w:sz="4"/>
          <w:right w:val="single" w:color="1F6F5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A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Solves the Web3 Friction problem</w:t>
            </w:r>
          </w:p>
          <w:p>
            <w:pPr>
              <w:spacing w:after="0" w:line="280"/>
            </w:pPr>
            <w:r>
              <w:rPr>
                <w:color w:val="0F1B2B"/>
                <w:sz w:val="20"/>
                <w:szCs w:val="20"/>
              </w:rPr>
              <w:t xml:space="preserve">This is the mechanism that removes the adoption barrier called out in the proposal's context: users authenticate with a familiar Web2 identity, and merchants never have to build wallet UX.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2.3 Gasless Credit Issuance &amp; Redemption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0078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6472"/>
          <w:sz w:val="18"/>
          <w:szCs w:val="18"/>
        </w:rPr>
        <w:t xml:space="preserve">Figure 2.3 — The off-chain fast path answers in under 100ms; on-chain settlement happens asynchronously in parallel.</w:t>
      </w:r>
    </w:p>
    <w:p>
      <w:pPr>
        <w:pStyle w:val="Heading3"/>
        <w:spacing w:after="120" w:before="260"/>
      </w:pPr>
      <w:r>
        <w:rPr>
          <w:b/>
          <w:bCs/>
          <w:color w:val="1F6F5C"/>
        </w:rPr>
        <w:t xml:space="preserve">Actors &amp; components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single" w:color="DAD3C2" w:sz="4"/>
          <w:insideV w:val="single" w:color="DAD3C2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 / Component</w:t>
            </w:r>
          </w:p>
        </w:tc>
        <w:tc>
          <w:tcPr>
            <w:tcW w:type="dxa" w:w="69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the flow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Merchant POS / Backend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Initiates an issue or redeem request, e.g. at checkout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OctaPoint SDK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Signs the request client-side (HMAC-SHA256)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Validates, persists, and (optionally) settles on-chain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HMAC Middleware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Signature, timestamp-skew, and nonce-replay verification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Redis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Per-merchant rate limiting + hot balance cache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Postgres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Atomic ledger write (balance + transaction row)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Walrus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Immutable, content-addressed audit record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Sui + Enoki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Asynchronous on-chain mirror of the same mutation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F6F5C"/>
        </w:rPr>
        <w:t xml:space="preserve">Narrative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1.	</w:t>
      </w:r>
      <w:r>
        <w:rPr>
          <w:color w:val="0F1B2B"/>
        </w:rPr>
        <w:t xml:space="preserve">The POS calls sdk.issueCredit(...); the SDK computes an HMAC-SHA256 signature over the timestamp, a fresh nonce, the method, path, and body.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2.	</w:t>
      </w:r>
      <w:r>
        <w:rPr>
          <w:color w:val="0F1B2B"/>
        </w:rPr>
        <w:t xml:space="preserve">The API Gateway's HMAC middleware verifies the signature, rejects stale timestamps (&gt;5 min skew), and rejects replayed nonces.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3.	</w:t>
      </w:r>
      <w:r>
        <w:rPr>
          <w:color w:val="0F1B2B"/>
        </w:rPr>
        <w:t xml:space="preserve">The Redis-backed rate limiter checks the merchant's request bucket; anomalous issuance volume is flagged for operator review.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4.	</w:t>
      </w:r>
      <w:r>
        <w:rPr>
          <w:color w:val="0F1B2B"/>
        </w:rPr>
        <w:t xml:space="preserve">Postgres performs an atomic update: increment the LoyaltyAccount balance and insert a Transaction row keyed by an idempotent requestId.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5.	</w:t>
      </w:r>
      <w:r>
        <w:rPr>
          <w:color w:val="0F1B2B"/>
        </w:rPr>
        <w:t xml:space="preserve">The new balance is cached in Redis (30s TTL) so subsequent balance reads stay under the 100ms POS-checkout target.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6.	</w:t>
      </w:r>
      <w:r>
        <w:rPr>
          <w:color w:val="0F1B2B"/>
        </w:rPr>
        <w:t xml:space="preserve">An audit record is written to Walrus (or the local content-addressed fallback in demo mode) and its blob id is attached to the transaction.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7.	</w:t>
      </w:r>
      <w:r>
        <w:rPr>
          <w:color w:val="0F1B2B"/>
        </w:rPr>
        <w:t xml:space="preserve">The gateway responds to the SDK immediately — the on-chain mirror (when CHAIN_MODE=onchain) runs in parallel afterward and back-fills the transaction's suiTxDigest once confirmed.</w:t>
      </w:r>
    </w:p>
    <w:p>
      <w:pPr>
        <w:spacing w:before="120"/>
      </w:pPr>
    </w:p>
    <w:tbl>
      <w:tblPr>
        <w:tblW w:type="pct" w:w="100%"/>
        <w:tblBorders>
          <w:top w:val="single" w:color="1F6F5C" w:sz="4"/>
          <w:left w:val="single" w:color="1F6F5C" w:sz="24"/>
          <w:bottom w:val="single" w:color="1F6F5C" w:sz="4"/>
          <w:right w:val="single" w:color="1F6F5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A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Why two ledgers</w:t>
            </w:r>
          </w:p>
          <w:p>
            <w:pPr>
              <w:spacing w:after="0" w:line="280"/>
            </w:pPr>
            <w:r>
              <w:rPr>
                <w:color w:val="0F1B2B"/>
                <w:sz w:val="20"/>
                <w:szCs w:val="20"/>
              </w:rPr>
              <w:t xml:space="preserve">Postgres is the system of record for latency-sensitive reads/writes; the Sui object is the tamper-proof source of truth cross-party disputes ultimately fall back to. The async pattern gets both properties without forcing every checkout to wait on block confirmation.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2.4 AI Agent Credit Operations via the MCP Server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32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6472"/>
          <w:sz w:val="18"/>
          <w:szCs w:val="18"/>
        </w:rPr>
        <w:t xml:space="preserve">Figure 2.4 — A support agent's AI assistant issues a goodwill credit through the exact same authenticated path as any SDK integration.</w:t>
      </w:r>
    </w:p>
    <w:p>
      <w:pPr>
        <w:pStyle w:val="Heading3"/>
        <w:spacing w:after="120" w:before="260"/>
      </w:pPr>
      <w:r>
        <w:rPr>
          <w:b/>
          <w:bCs/>
          <w:color w:val="1F6F5C"/>
        </w:rPr>
        <w:t xml:space="preserve">Actors &amp; components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single" w:color="DAD3C2" w:sz="4"/>
          <w:insideV w:val="single" w:color="DAD3C2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 / Component</w:t>
            </w:r>
          </w:p>
        </w:tc>
        <w:tc>
          <w:tcPr>
            <w:tcW w:type="dxa" w:w="69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the flow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Support Agent (human)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Requests an action in natural language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AI Assistant (LLM)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Decides which MCP tool to call and with what arguments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OctaPoint MCP Server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Exposes issue_credit, redeem_credit, get_balance, etc. as MCP tools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OctaPoint SDK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Used internally by the MCP Server to call the gateway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Identical HMAC-authenticated path as Section 2.3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F6F5C"/>
        </w:rPr>
        <w:t xml:space="preserve">Narrative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1.	</w:t>
      </w:r>
      <w:r>
        <w:rPr>
          <w:color w:val="0F1B2B"/>
        </w:rPr>
        <w:t xml:space="preserve">A human support agent asks the AI assistant to issue a goodwill credit in plain language.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2.	</w:t>
      </w:r>
      <w:r>
        <w:rPr>
          <w:color w:val="0F1B2B"/>
        </w:rPr>
        <w:t xml:space="preserve">The AI assistant selects the issue_credit MCP tool and fills in its typed arguments (externalUserId, amount, reason).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3.	</w:t>
      </w:r>
      <w:r>
        <w:rPr>
          <w:color w:val="0F1B2B"/>
        </w:rPr>
        <w:t xml:space="preserve">The MCP Server forwards the call to the API Gateway through the SDK, signed with the same HMAC-SHA256 scheme as Section 2.3 — there is no separate, less-protected path for AI traffic.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4.	</w:t>
      </w:r>
      <w:r>
        <w:rPr>
          <w:color w:val="0F1B2B"/>
        </w:rPr>
        <w:t xml:space="preserve">The gateway processes the request exactly as it would for a POS terminal or a webhook-driven integration.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5.	</w:t>
      </w:r>
      <w:r>
        <w:rPr>
          <w:color w:val="0F1B2B"/>
        </w:rPr>
        <w:t xml:space="preserve">The result is returned to the AI assistant as a tool result, which it turns into a natural-language confirmation for the human agent.</w:t>
      </w:r>
    </w:p>
    <w:p>
      <w:pPr>
        <w:spacing w:before="120"/>
      </w:pPr>
    </w:p>
    <w:tbl>
      <w:tblPr>
        <w:tblW w:type="pct" w:w="100%"/>
        <w:tblBorders>
          <w:top w:val="single" w:color="1F6F5C" w:sz="4"/>
          <w:left w:val="single" w:color="1F6F5C" w:sz="24"/>
          <w:bottom w:val="single" w:color="1F6F5C" w:sz="4"/>
          <w:right w:val="single" w:color="1F6F5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A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No privileged AI back door</w:t>
            </w:r>
          </w:p>
          <w:p>
            <w:pPr>
              <w:spacing w:after="0" w:line="280"/>
            </w:pPr>
            <w:r>
              <w:rPr>
                <w:color w:val="0F1B2B"/>
                <w:sz w:val="20"/>
                <w:szCs w:val="20"/>
              </w:rPr>
              <w:t xml:space="preserve">The MCP Server holds a normal, scoped API key/secret pair like any other integration. Access control is enforced the same way regardless of whether the caller is a human-operated POS or an LLM-driven agent.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2.5 Anti-Fraud &amp; Replay Protection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5125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A6472"/>
          <w:sz w:val="18"/>
          <w:szCs w:val="18"/>
        </w:rPr>
        <w:t xml:space="preserve">Figure 2.5 — Three classes of abuse rejected by the API Gateway's anti-fraud layer.</w:t>
      </w:r>
    </w:p>
    <w:p>
      <w:pPr>
        <w:pStyle w:val="Heading3"/>
        <w:spacing w:after="120" w:before="260"/>
      </w:pPr>
      <w:r>
        <w:rPr>
          <w:b/>
          <w:bCs/>
          <w:color w:val="1F6F5C"/>
        </w:rPr>
        <w:t xml:space="preserve">Actors &amp; components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single" w:color="DAD3C2" w:sz="4"/>
          <w:insideV w:val="single" w:color="DAD3C2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 / Component</w:t>
            </w:r>
          </w:p>
        </w:tc>
        <w:tc>
          <w:tcPr>
            <w:tcW w:type="dxa" w:w="69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the flow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Malicious client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An attacker attempting spam, replay, or unauthorized minting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Entry point for every credit mutation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HMAC Middleware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Signature + timestamp + nonce verification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Redis (nonce cache)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10-minute replay window per API key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F6F5C"/>
        </w:rPr>
        <w:t xml:space="preserve">Narrative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1.	</w:t>
      </w:r>
      <w:r>
        <w:rPr>
          <w:color w:val="0F1B2B"/>
        </w:rPr>
        <w:t xml:space="preserve">Replay attack: a captured, previously-valid request is resent. The nonce was already consumed, so the gateway rejects it with 401 replayed_request.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2.	</w:t>
      </w:r>
      <w:r>
        <w:rPr>
          <w:color w:val="0F1B2B"/>
        </w:rPr>
        <w:t xml:space="preserve">Forged signature: an attacker guesses or brute-forces a key id but does not know the matching secret; the recomputed HMAC does not match, so the gateway rejects it with 401 invalid_signature.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3.	</w:t>
      </w:r>
      <w:r>
        <w:rPr>
          <w:color w:val="0F1B2B"/>
        </w:rPr>
        <w:t xml:space="preserve">Leaked-key abuse: a valid but compromised key is used to burst a high volume of issue calls; the request passes signature checks but trips the anomalous-issuance-volume flag, and the rate limiter throttles further requests with 429.</w:t>
      </w:r>
    </w:p>
    <w:p>
      <w:pPr>
        <w:spacing w:before="120"/>
      </w:pPr>
    </w:p>
    <w:tbl>
      <w:tblPr>
        <w:tblW w:type="pct" w:w="100%"/>
        <w:tblBorders>
          <w:top w:val="single" w:color="1F6F5C" w:sz="4"/>
          <w:left w:val="single" w:color="1F6F5C" w:sz="24"/>
          <w:bottom w:val="single" w:color="1F6F5C" w:sz="4"/>
          <w:right w:val="single" w:color="1F6F5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A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Defense in depth</w:t>
            </w:r>
          </w:p>
          <w:p>
            <w:pPr>
              <w:spacing w:after="0" w:line="280"/>
            </w:pPr>
            <w:r>
              <w:rPr>
                <w:color w:val="0F1B2B"/>
                <w:sz w:val="20"/>
                <w:szCs w:val="20"/>
              </w:rPr>
              <w:t xml:space="preserve">HMAC signing stops forgery, the nonce cache stops replay, and the Redis rate limiter plus anomaly flag stop volumetric abuse from a single compromised credential — together they address the "unauthorized point minting" and "API spam" risks named in the project's context.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0F1B2B"/>
        </w:rPr>
        <w:t xml:space="preserve">3. Move Setup Guide</w:t>
      </w:r>
    </w:p>
    <w:p>
      <w:pPr>
        <w:spacing w:after="180" w:line="300"/>
      </w:pPr>
      <w:r>
        <w:rPr>
          <w:color w:val="0F1B2B"/>
        </w:rPr>
        <w:t xml:space="preserve">This guide walks through installing the Sui toolchain, building and testing the octapoint::credit Move package (contracts/octapoint), publishing it to Sui Testnet, and wiring the resulting object ids into the API Gateway so CHAIN_MODE=onchain settlement (Section 2.3) can be enabled.</w:t>
      </w:r>
    </w:p>
    <w:tbl>
      <w:tblPr>
        <w:tblW w:type="pct" w:w="100%"/>
        <w:tblBorders>
          <w:top w:val="single" w:color="9C6B1F" w:sz="4"/>
          <w:left w:val="single" w:color="9C6B1F" w:sz="24"/>
          <w:bottom w:val="single" w:color="9C6B1F" w:sz="4"/>
          <w:right w:val="single" w:color="9C6B1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A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9C6B1F"/>
                <w:sz w:val="20"/>
                <w:szCs w:val="20"/>
              </w:rPr>
              <w:t xml:space="preserve">Not required for the demo</w:t>
            </w:r>
          </w:p>
          <w:p>
            <w:pPr>
              <w:spacing w:after="0" w:line="280"/>
            </w:pPr>
            <w:r>
              <w:rPr>
                <w:color w:val="0F1B2B"/>
                <w:sz w:val="20"/>
                <w:szCs w:val="20"/>
              </w:rPr>
              <w:t xml:space="preserve">The reference build runs end-to-end with CHAIN_MODE=offchain and needs none of this — use this guide when you're ready to exercise the real on-chain path for grading/demo purposes.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3.1 Prerequisites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Rust toolchain (installed automatically by the Sui installer if missing)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~2 GB free disk space for the Sui binary and its dependencies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macOS, Linux, or WSL2 on Windows</w:t>
      </w:r>
    </w:p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3.2 Installing the Sui CLI</w:t>
      </w:r>
    </w:p>
    <w:p>
      <w:pPr>
        <w:spacing w:after="180" w:line="300"/>
      </w:pPr>
      <w:r>
        <w:rPr>
          <w:color w:val="0F1B2B"/>
        </w:rPr>
        <w:t xml:space="preserve">Install via the prebuilt binaries (fastest) or build from source.</w:t>
      </w:r>
    </w:p>
    <w:p>
      <w:pPr>
        <w:pStyle w:val="Heading3"/>
        <w:spacing w:after="120" w:before="260"/>
      </w:pPr>
      <w:r>
        <w:rPr>
          <w:b/>
          <w:bCs/>
          <w:color w:val="1F6F5C"/>
        </w:rPr>
        <w:t xml:space="preserve">Option A — Homebrew (macOS/Linux)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brew install sui</w:t>
            </w:r>
          </w:p>
        </w:tc>
      </w:tr>
    </w:tbl>
    <w:p>
      <w:pPr>
        <w:pStyle w:val="Heading3"/>
        <w:spacing w:after="120" w:before="260"/>
      </w:pPr>
      <w:r>
        <w:rPr>
          <w:b/>
          <w:bCs/>
          <w:color w:val="1F6F5C"/>
        </w:rPr>
        <w:t xml:space="preserve">Option B — Cargo (build from source, all platforms)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cargo install --locked --git https://github.com/MystenLabs/sui.git \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--branch testnet sui</w:t>
            </w:r>
          </w:p>
        </w:tc>
      </w:tr>
    </w:tbl>
    <w:p>
      <w:pPr>
        <w:spacing w:after="180" w:line="300"/>
      </w:pPr>
      <w:r>
        <w:rPr>
          <w:color w:val="0F1B2B"/>
        </w:rPr>
        <w:t xml:space="preserve">Verify the install: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--version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3.3 Configuring a Testnet Environment &amp; Wallet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1.	</w:t>
      </w:r>
      <w:r>
        <w:rPr>
          <w:color w:val="0F1B2B"/>
        </w:rPr>
        <w:t xml:space="preserve">Add and switch to the testnet environment: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client new-env --alias testnet --rpc https://fullnode.testnet.sui.io:443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client switch --env testnet</w:t>
            </w:r>
          </w:p>
        </w:tc>
      </w:tr>
    </w:tbl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2.	</w:t>
      </w:r>
      <w:r>
        <w:rPr>
          <w:color w:val="0F1B2B"/>
        </w:rPr>
        <w:t xml:space="preserve">Generate a new address (or import an existing one):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client new-address ed25519</w:t>
            </w:r>
          </w:p>
        </w:tc>
      </w:tr>
    </w:tbl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3.	</w:t>
      </w:r>
      <w:r>
        <w:rPr>
          <w:color w:val="0F1B2B"/>
        </w:rPr>
        <w:t xml:space="preserve">Confirm your active address: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client active-address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3.4 Funding Your Address (Testnet Faucet)</w:t>
      </w:r>
    </w:p>
    <w:p>
      <w:pPr>
        <w:spacing w:after="180" w:line="300"/>
      </w:pPr>
      <w:r>
        <w:rPr>
          <w:color w:val="0F1B2B"/>
        </w:rPr>
        <w:t xml:space="preserve">Request test SUI so you can pay gas for publishing and testing: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client faucet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# or via curl if the CLI faucet is rate-limited: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curl --location --request POST 'https://faucet.testnet.sui.io/v2/gas' \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--header 'Content-Type: application/json' \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--data-raw '{"FixedAmountRequest":{"recipient":"&lt;YOUR_ADDRESS&gt;"}}'</w:t>
            </w:r>
          </w:p>
        </w:tc>
      </w:tr>
    </w:tbl>
    <w:p>
      <w:pPr>
        <w:spacing w:after="180" w:line="300"/>
      </w:pPr>
      <w:r>
        <w:rPr>
          <w:color w:val="0F1B2B"/>
        </w:rPr>
        <w:t xml:space="preserve">Check your balance: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client gas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3.5 Project Structure</w:t>
      </w:r>
    </w:p>
    <w:p>
      <w:pPr>
        <w:spacing w:after="180" w:line="300"/>
      </w:pPr>
      <w:r>
        <w:rPr>
          <w:color w:val="0F1B2B"/>
        </w:rPr>
        <w:t xml:space="preserve">The contract lives at contracts/octapoint in the OctaPoint monorepo: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contracts/octapoint/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├── Move.toml              # package manifest + Sui framework dependency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├── sources/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│   └── credit.move        # AdminCap, MerchantCap, Treasury, LoyaltyAccount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└── tests/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  └── credit_tests.move  # sui::test_scenario unit tests</w:t>
            </w:r>
          </w:p>
        </w:tc>
      </w:tr>
    </w:tbl>
    <w:p>
      <w:pPr>
        <w:spacing w:after="180" w:line="300"/>
      </w:pPr>
      <w:r>
        <w:rPr>
          <w:color w:val="0F1B2B"/>
        </w:rPr>
        <w:t xml:space="preserve">Move.toml pins the Sui Framework to the testnet branch and declares the package's on-chain address placeholder: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[package]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name = "octapoint"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edition = "2024.beta"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[dependencies]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= { git = "https://github.com/MystenLabs/sui.git",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      subdir = "crates/sui-framework/packages/sui-framework",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      rev = "framework/testnet" }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[addresses]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octapoint = "0x0"   # resolved to the real package id at publish time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3.6 Building &amp; Testing the Contract</w:t>
      </w:r>
    </w:p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1.	</w:t>
      </w:r>
      <w:r>
        <w:rPr>
          <w:color w:val="0F1B2B"/>
        </w:rPr>
        <w:t xml:space="preserve">From the contract directory, build: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cd contracts/octapoint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move build</w:t>
            </w:r>
          </w:p>
        </w:tc>
      </w:tr>
    </w:tbl>
    <w:p>
      <w:pPr>
        <w:spacing w:after="90" w:line="280"/>
        <w:ind w:left="460" w:hanging="300"/>
      </w:pPr>
      <w:r>
        <w:rPr>
          <w:b/>
          <w:bCs/>
          <w:color w:val="0F1B2B"/>
        </w:rPr>
        <w:t xml:space="preserve">2.	</w:t>
      </w:r>
      <w:r>
        <w:rPr>
          <w:color w:val="0F1B2B"/>
        </w:rPr>
        <w:t xml:space="preserve">Run the unit tests (covers the full issue → redeem flow in credit_tests.move):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move test</w:t>
            </w:r>
          </w:p>
        </w:tc>
      </w:tr>
    </w:tbl>
    <w:p>
      <w:pPr>
        <w:spacing w:after="180" w:line="300"/>
      </w:pPr>
      <w:r>
        <w:rPr>
          <w:color w:val="0F1B2B"/>
        </w:rPr>
        <w:t xml:space="preserve">Expected output ends with a summary similar to: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Running Move unit tests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[ PASS    ] octapoint::credit_tests::issue_and_redeem_flow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Test result: OK. Total tests: 1; passed: 1; failed: 0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3.7 Publishing to Testnet</w:t>
      </w:r>
    </w:p>
    <w:p>
      <w:pPr>
        <w:spacing w:after="180" w:line="300"/>
      </w:pPr>
      <w:r>
        <w:rPr>
          <w:color w:val="0F1B2B"/>
        </w:rPr>
        <w:t xml:space="preserve">Once tests pass, publish the package: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client publish --gas-budget 100000000</w:t>
            </w:r>
          </w:p>
        </w:tc>
      </w:tr>
    </w:tbl>
    <w:p>
      <w:pPr>
        <w:spacing w:after="180" w:line="300"/>
      </w:pPr>
      <w:r>
        <w:rPr>
          <w:color w:val="0F1B2B"/>
        </w:rPr>
        <w:t xml:space="preserve">The CLI prints a transaction digest and an "Object changes" section. Two entries matter: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A newly created object of type octapoint::credit::AdminCap — transferred to your address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F1B2B"/>
        </w:rPr>
        <w:t xml:space="preserve">The published Package itself — its id is your SUI_PACKAGE_ID</w:t>
      </w:r>
    </w:p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3.8 Post-Deployment: Capturing Object IDs</w:t>
      </w:r>
    </w:p>
    <w:p>
      <w:pPr>
        <w:spacing w:after="180" w:line="300"/>
      </w:pPr>
      <w:r>
        <w:rPr>
          <w:color w:val="0F1B2B"/>
        </w:rPr>
        <w:t xml:space="preserve">Save these values — the API Gateway needs them: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single" w:color="DAD3C2" w:sz="4"/>
          <w:insideV w:val="single" w:color="DAD3C2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to capture</w:t>
            </w:r>
          </w:p>
        </w:tc>
        <w:tc>
          <w:tcPr>
            <w:tcW w:type="dxa" w:w="69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to find it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SUI_PACKAGE_ID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The "PackageID" field from the publish output's Object changes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Admin address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Your sui client active-address — holds the AdminCap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AdminCap object id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The "ObjectID" of the created AdminCap object</w:t>
            </w:r>
          </w:p>
        </w:tc>
      </w:tr>
    </w:tbl>
    <w:p>
      <w:pPr>
        <w:spacing w:after="180" w:line="300"/>
      </w:pPr>
      <w:r>
        <w:rPr>
          <w:color w:val="0F1B2B"/>
        </w:rPr>
        <w:t xml:space="preserve">You can re-look these up any time with: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client objects --address &lt;YOUR_ADDRESS&gt;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3.9 Onboarding the First Merchant via CLI</w:t>
      </w:r>
    </w:p>
    <w:p>
      <w:pPr>
        <w:spacing w:after="180" w:line="300"/>
      </w:pPr>
      <w:r>
        <w:rPr>
          <w:color w:val="0F1B2B"/>
        </w:rPr>
        <w:t xml:space="preserve">This mirrors what the API Gateway's chainService.ts does programmatically, run manually for a first smoke test: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 client call \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--package &lt;SUI_PACKAGE_ID&gt; \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--module credit \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--function onboard_merchant \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--args &lt;ADMIN_CAP_ID&gt; &lt;MERCHANT_ADDRESS&gt; "Demo Mall" 100 100 0x6 \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  --gas-budget 100000000</w:t>
            </w:r>
          </w:p>
        </w:tc>
      </w:tr>
    </w:tbl>
    <w:p>
      <w:pPr>
        <w:spacing w:after="180" w:line="300"/>
      </w:pPr>
      <w:r>
        <w:rPr>
          <w:color w:val="0F1B2B"/>
        </w:rPr>
        <w:t xml:space="preserve">Argument 0x6 is Sui's well-known shared Clock object, required by every entry function that timestamps its events. The call creates and shares a Treasury object and transfers a MerchantCap to &lt;MERCHANT_ADDRESS&gt;.</w:t>
      </w:r>
    </w:p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3.10 Wiring the Package into the API Gateway</w:t>
      </w:r>
    </w:p>
    <w:p>
      <w:pPr>
        <w:spacing w:after="180" w:line="300"/>
      </w:pPr>
      <w:r>
        <w:rPr>
          <w:color w:val="0F1B2B"/>
        </w:rPr>
        <w:t xml:space="preserve">In the repository root .env, set: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CHAIN_MODE=onchain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SUI_NETWORK=testnet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SUI_PACKAGE_ID="0x&lt;your package id&gt;"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SUI_GATEWAY_SIGNER_SECRET="&lt;bech32 or hex secret key the gateway signs with&gt;"</w:t>
            </w:r>
          </w:p>
        </w:tc>
      </w:tr>
    </w:tbl>
    <w:p>
      <w:pPr>
        <w:spacing w:after="180" w:line="300"/>
      </w:pPr>
      <w:r>
        <w:rPr>
          <w:color w:val="0F1B2B"/>
        </w:rPr>
        <w:t xml:space="preserve">The gateway signer address needs its own MerchantCap (or, for merchant-initiated calls, the merchant's own key) to call issue_credit / redeem_credit — see packages/api-gateway/src/services/chainService.ts.</w:t>
      </w:r>
    </w:p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3.11 Verifying on Sui Explorer</w:t>
      </w:r>
    </w:p>
    <w:p>
      <w:pPr>
        <w:spacing w:after="180" w:line="300"/>
      </w:pPr>
      <w:r>
        <w:rPr>
          <w:color w:val="0F1B2B"/>
        </w:rPr>
        <w:t xml:space="preserve">Paste your package id, transaction digest, or object id into the testnet explorer to confirm on-chain state: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https://suiscan.xyz/testnet/home</w:t>
            </w:r>
          </w:p>
          <w:p>
            <w:pPr>
              <w:spacing w:after="20"/>
            </w:pPr>
            <w:r>
              <w:rPr>
                <w:rFonts w:ascii="IBM Plex Mono" w:cs="IBM Plex Mono" w:eastAsia="IBM Plex Mono" w:hAnsi="IBM Plex Mono"/>
                <w:color w:val="22303F"/>
                <w:sz w:val="18"/>
                <w:szCs w:val="18"/>
              </w:rPr>
              <w:t xml:space="preserve">https://suiexplorer.com/?network=testnet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0F1B2B"/>
        </w:rPr>
        <w:t xml:space="preserve">3.12 Troubleshooting</w:t>
      </w:r>
    </w:p>
    <w:tbl>
      <w:tblPr>
        <w:tblW w:type="pct" w:w="100%"/>
        <w:tblBorders>
          <w:top w:val="single" w:color="DAD3C2" w:sz="4"/>
          <w:left w:val="single" w:color="DAD3C2" w:sz="4"/>
          <w:bottom w:val="single" w:color="DAD3C2" w:sz="4"/>
          <w:right w:val="single" w:color="DAD3C2" w:sz="4"/>
          <w:insideH w:val="single" w:color="DAD3C2" w:sz="4"/>
          <w:insideV w:val="single" w:color="DAD3C2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900"/>
            <w:shd w:fill="0F1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InsufficientGas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Re-run sui client faucet; testnet gas expires from inactive addresses over time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ENotMerchantOwner / capability mismatch abort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Double-check the MerchantCap object id matches the Treasury you're calling against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Package build fails on framework rev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Your local Sui CLI version may be behind — run sui move build again after sui client upgrade, or pin rev to a specific commit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Object not found calling onboard_merchant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Confirm you're passing the AdminCap's object id (not the package id) as the first argument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0F1B2B"/>
                <w:sz w:val="19"/>
                <w:szCs w:val="19"/>
              </w:rPr>
              <w:t xml:space="preserve">Gateway settleOnChain() throws "SUI_GATEWAY_SIGNER_SECRET not configured"</w:t>
            </w:r>
          </w:p>
        </w:tc>
        <w:tc>
          <w:tcPr>
            <w:tcW w:type="dxa" w:w="6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0F1B2B"/>
                <w:sz w:val="19"/>
                <w:szCs w:val="19"/>
              </w:rPr>
              <w:t xml:space="preserve">Set CHAIN_MODE=offchain until you've generated and funded a dedicated signer key for the gateway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OctaPoint — Web3 Sequence Diagrams &amp; Move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0F1B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olor w:val="0F1B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b/>
      <w:bCs/>
      <w:color w:val="1F6F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20dcb7e8b90cf071babc50460fe5d072655dbb.png"/><Relationship Id="rId10" Type="http://schemas.openxmlformats.org/officeDocument/2006/relationships/image" Target="media/7cca8f909f38f882baf9ccee926507885f138a11.png"/><Relationship Id="rId11" Type="http://schemas.openxmlformats.org/officeDocument/2006/relationships/image" Target="media/ad65872c94ba11e3729f4491da5c9a35cbc3e831.png"/><Relationship Id="rId12" Type="http://schemas.openxmlformats.org/officeDocument/2006/relationships/image" Target="media/4572bb0c74a12dda9516e3f0c7a27cc40eb45035.png"/><Relationship Id="rId13" Type="http://schemas.openxmlformats.org/officeDocument/2006/relationships/image" Target="media/ec7149bf7800d4c36d0e4b259d660d98739093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2026-09-10T03:43:56.275Z</dcterms:created>
  <dcterms:modified xsi:type="dcterms:W3CDTF">2026-09-10T03:43:56.275Z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