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Handover Management</w:t>
      </w:r>
    </w:p>
    <w:p>
      <w:r>
        <w:rPr>
          <w:b/>
        </w:rPr>
        <w:t xml:space="preserve">Feature ID: </w:t>
      </w:r>
      <w:r>
        <w:t>FGR-HO0101</w:t>
      </w:r>
    </w:p>
    <w:p>
      <w:pPr>
        <w:pStyle w:val="Heading2"/>
      </w:pPr>
      <w:r>
        <w:t>1. Introduction</w:t>
      </w:r>
    </w:p>
    <w:p>
      <w:r>
        <w:t>Handover Management controls the inter-cell handover procedure for UEs in connected mode. It defines the measurement triggering conditions (A3 event), preparation timers, and handover execution thresholds to maintain seamless mobility.</w:t>
      </w:r>
    </w:p>
    <w:p>
      <w:pPr>
        <w:pStyle w:val="Heading2"/>
      </w:pPr>
      <w:r>
        <w:t>2. Configuration</w:t>
      </w:r>
    </w:p>
    <w:p>
      <w:r>
        <w:t>Handover is configured per NRCellCU via the HandoverConfig MO. Key parameters include the A3 offset, hysteresis, and time-to-trigger. The preparation timer controls the maximum wait before a handover is aborted.</w:t>
      </w:r>
    </w:p>
    <w:p>
      <w:pPr>
        <w:pStyle w:val="Heading2"/>
      </w:pPr>
      <w:r>
        <w:t>3. Key Parameters</w:t>
      </w:r>
    </w:p>
    <w:tbl>
      <w:tblPr>
        <w:tblStyle w:val="TableGrid"/>
        <w:tblW w:type="auto" w:w="0"/>
        <w:tblLook w:firstColumn="1" w:firstRow="1" w:lastColumn="0" w:lastRow="0" w:noHBand="0" w:noVBand="1" w:val="04A0"/>
      </w:tblPr>
      <w:tblGrid>
        <w:gridCol w:w="4320"/>
        <w:gridCol w:w="4320"/>
      </w:tblGrid>
      <w:tr>
        <w:tc>
          <w:tcPr>
            <w:tcW w:type="dxa" w:w="4320"/>
          </w:tcPr>
          <w:p>
            <w:r>
              <w:t>Parameter Name</w:t>
            </w:r>
          </w:p>
        </w:tc>
        <w:tc>
          <w:tcPr>
            <w:tcW w:type="dxa" w:w="4320"/>
          </w:tcPr>
          <w:p>
            <w:r>
              <w:t>Description</w:t>
            </w:r>
          </w:p>
        </w:tc>
      </w:tr>
      <w:tr>
        <w:tc>
          <w:tcPr>
            <w:tcW w:type="dxa" w:w="4320"/>
          </w:tcPr>
          <w:p>
            <w:r>
              <w:t>handover-preparation-timer</w:t>
            </w:r>
          </w:p>
        </w:tc>
        <w:tc>
          <w:tcPr>
            <w:tcW w:type="dxa" w:w="4320"/>
          </w:tcPr>
          <w:p>
            <w:r>
              <w:t>Maximum preparation time in ms before handover abort.</w:t>
            </w:r>
          </w:p>
        </w:tc>
      </w:tr>
      <w:tr>
        <w:tc>
          <w:tcPr>
            <w:tcW w:type="dxa" w:w="4320"/>
          </w:tcPr>
          <w:p>
            <w:r>
              <w:t>handover-a3-offset</w:t>
            </w:r>
          </w:p>
        </w:tc>
        <w:tc>
          <w:tcPr>
            <w:tcW w:type="dxa" w:w="4320"/>
          </w:tcPr>
          <w:p>
            <w:r>
              <w:t>A3 event offset for intra-frequency handover trigger (0.5 dB units).</w:t>
            </w:r>
          </w:p>
        </w:tc>
      </w:tr>
      <w:tr>
        <w:tc>
          <w:tcPr>
            <w:tcW w:type="dxa" w:w="4320"/>
          </w:tcPr>
          <w:p>
            <w:r>
              <w:t>handover-hysteresis</w:t>
            </w:r>
          </w:p>
        </w:tc>
        <w:tc>
          <w:tcPr>
            <w:tcW w:type="dxa" w:w="4320"/>
          </w:tcPr>
          <w:p>
            <w:r>
              <w:t>Hysteresis for A3 event evaluation (0.5 dB units).</w:t>
            </w:r>
          </w:p>
        </w:tc>
      </w:tr>
      <w:tr>
        <w:tc>
          <w:tcPr>
            <w:tcW w:type="dxa" w:w="4320"/>
          </w:tcPr>
          <w:p>
            <w:r>
              <w:t>meas-time-to-trigger</w:t>
            </w:r>
          </w:p>
        </w:tc>
        <w:tc>
          <w:tcPr>
            <w:tcW w:type="dxa" w:w="4320"/>
          </w:tcPr>
          <w:p>
            <w:r>
              <w:t>Time-to-trigger for measurement event evaluation.</w:t>
            </w:r>
          </w:p>
        </w:tc>
      </w:tr>
    </w:tbl>
    <w:p/>
    <w:p>
      <w:pPr>
        <w:pStyle w:val="Heading1"/>
      </w:pPr>
      <w:r>
        <w:t>Carrier Aggregation</w:t>
      </w:r>
    </w:p>
    <w:p>
      <w:r>
        <w:rPr>
          <w:b/>
        </w:rPr>
        <w:t xml:space="preserve">Feature ID: </w:t>
      </w:r>
      <w:r>
        <w:t>FGR-CA0201</w:t>
      </w:r>
    </w:p>
    <w:p>
      <w:pPr>
        <w:pStyle w:val="Heading2"/>
      </w:pPr>
      <w:r>
        <w:t>1. Introduction</w:t>
      </w:r>
    </w:p>
    <w:p>
      <w:r>
        <w:t>Carrier Aggregation (CA) allows a UE to simultaneously transmit and receive on multiple component carriers to increase peak throughput. This feature controls CA enablement, the maximum number of SCells, and SCell activation timing.</w:t>
      </w:r>
    </w:p>
    <w:p>
      <w:pPr>
        <w:pStyle w:val="Heading2"/>
      </w:pPr>
      <w:r>
        <w:t>2. Configuration</w:t>
      </w:r>
    </w:p>
    <w:p>
      <w:r>
        <w:t>CA is configured under NRCellCU via the CarrierAggConfig MO. The feature requires compatible UE capability reporting. SCell activation is deferred by a configurable timer after CA configuration.</w:t>
      </w:r>
    </w:p>
    <w:p>
      <w:pPr>
        <w:pStyle w:val="Heading2"/>
      </w:pPr>
      <w:r>
        <w:t>3. Key Parameters</w:t>
      </w:r>
    </w:p>
    <w:tbl>
      <w:tblPr>
        <w:tblStyle w:val="TableGrid"/>
        <w:tblW w:type="auto" w:w="0"/>
        <w:tblLook w:firstColumn="1" w:firstRow="1" w:lastColumn="0" w:lastRow="0" w:noHBand="0" w:noVBand="1" w:val="04A0"/>
      </w:tblPr>
      <w:tblGrid>
        <w:gridCol w:w="4320"/>
        <w:gridCol w:w="4320"/>
      </w:tblGrid>
      <w:tr>
        <w:tc>
          <w:tcPr>
            <w:tcW w:type="dxa" w:w="4320"/>
          </w:tcPr>
          <w:p>
            <w:r>
              <w:t>Parameter Name</w:t>
            </w:r>
          </w:p>
        </w:tc>
        <w:tc>
          <w:tcPr>
            <w:tcW w:type="dxa" w:w="4320"/>
          </w:tcPr>
          <w:p>
            <w:r>
              <w:t>Description</w:t>
            </w:r>
          </w:p>
        </w:tc>
      </w:tr>
      <w:tr>
        <w:tc>
          <w:tcPr>
            <w:tcW w:type="dxa" w:w="4320"/>
          </w:tcPr>
          <w:p>
            <w:r>
              <w:t>carrier-aggregation-enable</w:t>
            </w:r>
          </w:p>
        </w:tc>
        <w:tc>
          <w:tcPr>
            <w:tcW w:type="dxa" w:w="4320"/>
          </w:tcPr>
          <w:p>
            <w:r>
              <w:t>Enables carrier aggregation for the cell.</w:t>
            </w:r>
          </w:p>
        </w:tc>
      </w:tr>
      <w:tr>
        <w:tc>
          <w:tcPr>
            <w:tcW w:type="dxa" w:w="4320"/>
          </w:tcPr>
          <w:p>
            <w:r>
              <w:t>carrier-aggregation-max-scell</w:t>
            </w:r>
          </w:p>
        </w:tc>
        <w:tc>
          <w:tcPr>
            <w:tcW w:type="dxa" w:w="4320"/>
          </w:tcPr>
          <w:p>
            <w:r>
              <w:t>Maximum number of secondary cells (SCells) per UE.</w:t>
            </w:r>
          </w:p>
        </w:tc>
      </w:tr>
      <w:tr>
        <w:tc>
          <w:tcPr>
            <w:tcW w:type="dxa" w:w="4320"/>
          </w:tcPr>
          <w:p>
            <w:r>
              <w:t>scell-activation-timer</w:t>
            </w:r>
          </w:p>
        </w:tc>
        <w:tc>
          <w:tcPr>
            <w:tcW w:type="dxa" w:w="4320"/>
          </w:tcPr>
          <w:p>
            <w:r>
              <w:t>SCell activation timer in ms after CA configuration.</w:t>
            </w:r>
          </w:p>
        </w:tc>
      </w:tr>
    </w:tbl>
    <w:p/>
    <w:p>
      <w:pPr>
        <w:pStyle w:val="Heading1"/>
      </w:pPr>
      <w:r>
        <w:t>Bandwidth Part Management</w:t>
      </w:r>
    </w:p>
    <w:p>
      <w:r>
        <w:rPr>
          <w:b/>
        </w:rPr>
        <w:t xml:space="preserve">Feature ID: </w:t>
      </w:r>
      <w:r>
        <w:t>FGR-BW0301</w:t>
      </w:r>
    </w:p>
    <w:p>
      <w:pPr>
        <w:pStyle w:val="Heading2"/>
      </w:pPr>
      <w:r>
        <w:t>1. Introduction</w:t>
      </w:r>
    </w:p>
    <w:p>
      <w:r>
        <w:t>Bandwidth Part (BWP) Management controls the active BWP selection and inactivity-based fallback for NR UEs. It reduces UE power consumption by switching to a narrow default BWP when the UE is inactive.</w:t>
      </w:r>
    </w:p>
    <w:p>
      <w:pPr>
        <w:pStyle w:val="Heading2"/>
      </w:pPr>
      <w:r>
        <w:t>2. Configuration</w:t>
      </w:r>
    </w:p>
    <w:p>
      <w:r>
        <w:t>BWP is configured under NRCellDU via the BWPConfig MO. The inactivity timer defines how long the UE stays on the active BWP before reverting to the default BWP. Setting the timer to 0 disables the fallback.</w:t>
      </w:r>
    </w:p>
    <w:p>
      <w:pPr>
        <w:pStyle w:val="Heading2"/>
      </w:pPr>
      <w:r>
        <w:t>3. Key Parameters</w:t>
      </w:r>
    </w:p>
    <w:tbl>
      <w:tblPr>
        <w:tblStyle w:val="TableGrid"/>
        <w:tblW w:type="auto" w:w="0"/>
        <w:tblLook w:firstColumn="1" w:firstRow="1" w:lastColumn="0" w:lastRow="0" w:noHBand="0" w:noVBand="1" w:val="04A0"/>
      </w:tblPr>
      <w:tblGrid>
        <w:gridCol w:w="4320"/>
        <w:gridCol w:w="4320"/>
      </w:tblGrid>
      <w:tr>
        <w:tc>
          <w:tcPr>
            <w:tcW w:type="dxa" w:w="4320"/>
          </w:tcPr>
          <w:p>
            <w:r>
              <w:t>Parameter Name</w:t>
            </w:r>
          </w:p>
        </w:tc>
        <w:tc>
          <w:tcPr>
            <w:tcW w:type="dxa" w:w="4320"/>
          </w:tcPr>
          <w:p>
            <w:r>
              <w:t>Description</w:t>
            </w:r>
          </w:p>
        </w:tc>
      </w:tr>
      <w:tr>
        <w:tc>
          <w:tcPr>
            <w:tcW w:type="dxa" w:w="4320"/>
          </w:tcPr>
          <w:p>
            <w:r>
              <w:t>bwp-inactivity-timer</w:t>
            </w:r>
          </w:p>
        </w:tc>
        <w:tc>
          <w:tcPr>
            <w:tcW w:type="dxa" w:w="4320"/>
          </w:tcPr>
          <w:p>
            <w:r>
              <w:t>Inactivity timer for returning to default BWP (ms). 0 disables.</w:t>
            </w:r>
          </w:p>
        </w:tc>
      </w:tr>
      <w:tr>
        <w:tc>
          <w:tcPr>
            <w:tcW w:type="dxa" w:w="4320"/>
          </w:tcPr>
          <w:p>
            <w:r>
              <w:t>bwp-initial-dl-bandwidth</w:t>
            </w:r>
          </w:p>
        </w:tc>
        <w:tc>
          <w:tcPr>
            <w:tcW w:type="dxa" w:w="4320"/>
          </w:tcPr>
          <w:p>
            <w:r>
              <w:t>Initial downlink BWP bandwidth in resource blocks.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