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Handover Management</w:t>
      </w:r>
    </w:p>
    <w:p>
      <w:r>
        <w:rPr>
          <w:b/>
        </w:rPr>
        <w:t xml:space="preserve">Feature ID: </w:t>
      </w:r>
      <w:r>
        <w:t>FGR-HO0101</w:t>
      </w:r>
    </w:p>
    <w:p>
      <w:pPr>
        <w:pStyle w:val="Heading2"/>
      </w:pPr>
      <w:r>
        <w:t>1. Introduction</w:t>
      </w:r>
    </w:p>
    <w:p>
      <w:r>
        <w:t>Handover Management controls the inter-cell handover procedure for UEs in connected mode. It defines the measurement triggering conditions (A3 event), preparation timers, and handover execution thresholds to maintain seamless mobility.</w:t>
      </w:r>
    </w:p>
    <w:p>
      <w:pPr>
        <w:pStyle w:val="Heading2"/>
      </w:pPr>
      <w:r>
        <w:t>2. Configuration</w:t>
      </w:r>
    </w:p>
    <w:p>
      <w:r>
        <w:t>Handover is configured per NRCellCU via the HandoverConfig MO. Key parameters include the A3 offset, hysteresis, and time-to-trigger. The preparation timer controls the maximum wait before a handover is aborted.</w:t>
      </w:r>
    </w:p>
    <w:p>
      <w:pPr>
        <w:pStyle w:val="Heading2"/>
      </w:pPr>
      <w:r>
        <w:t>3. Key Parameters</w:t>
      </w:r>
    </w:p>
    <w:tbl>
      <w:tblPr>
        <w:tblStyle w:val="TableGrid"/>
        <w:tblW w:type="auto" w:w="0"/>
        <w:tblLook w:firstColumn="1" w:firstRow="1" w:lastColumn="0" w:lastRow="0" w:noHBand="0" w:noVBand="1" w:val="04A0"/>
      </w:tblPr>
      <w:tblGrid>
        <w:gridCol w:w="4320"/>
        <w:gridCol w:w="4320"/>
      </w:tblGrid>
      <w:tr>
        <w:tc>
          <w:tcPr>
            <w:tcW w:type="dxa" w:w="4320"/>
          </w:tcPr>
          <w:p>
            <w:r>
              <w:t>Parameter Name</w:t>
            </w:r>
          </w:p>
        </w:tc>
        <w:tc>
          <w:tcPr>
            <w:tcW w:type="dxa" w:w="4320"/>
          </w:tcPr>
          <w:p>
            <w:r>
              <w:t>Description</w:t>
            </w:r>
          </w:p>
        </w:tc>
      </w:tr>
      <w:tr>
        <w:tc>
          <w:tcPr>
            <w:tcW w:type="dxa" w:w="4320"/>
          </w:tcPr>
          <w:p>
            <w:r>
              <w:t>handover-preparation-timer</w:t>
            </w:r>
          </w:p>
        </w:tc>
        <w:tc>
          <w:tcPr>
            <w:tcW w:type="dxa" w:w="4320"/>
          </w:tcPr>
          <w:p>
            <w:r>
              <w:t>Maximum preparation time in ms before handover abort.</w:t>
            </w:r>
          </w:p>
        </w:tc>
      </w:tr>
      <w:tr>
        <w:tc>
          <w:tcPr>
            <w:tcW w:type="dxa" w:w="4320"/>
          </w:tcPr>
          <w:p>
            <w:r>
              <w:t>handover-a3-offset</w:t>
            </w:r>
          </w:p>
        </w:tc>
        <w:tc>
          <w:tcPr>
            <w:tcW w:type="dxa" w:w="4320"/>
          </w:tcPr>
          <w:p>
            <w:r>
              <w:t>A3 event offset for intra-frequency handover trigger (0.5 dB units).</w:t>
            </w:r>
          </w:p>
        </w:tc>
      </w:tr>
      <w:tr>
        <w:tc>
          <w:tcPr>
            <w:tcW w:type="dxa" w:w="4320"/>
          </w:tcPr>
          <w:p>
            <w:r>
              <w:t>handover-hysteresis</w:t>
            </w:r>
          </w:p>
        </w:tc>
        <w:tc>
          <w:tcPr>
            <w:tcW w:type="dxa" w:w="4320"/>
          </w:tcPr>
          <w:p>
            <w:r>
              <w:t>Hysteresis for A3 event evaluation (0.5 dB units).</w:t>
            </w:r>
          </w:p>
        </w:tc>
      </w:tr>
      <w:tr>
        <w:tc>
          <w:tcPr>
            <w:tcW w:type="dxa" w:w="4320"/>
          </w:tcPr>
          <w:p>
            <w:r>
              <w:t>meas-time-to-trigger</w:t>
            </w:r>
          </w:p>
        </w:tc>
        <w:tc>
          <w:tcPr>
            <w:tcW w:type="dxa" w:w="4320"/>
          </w:tcPr>
          <w:p>
            <w:r>
              <w:t>Time-to-trigger for measurement event evaluation.</w:t>
            </w:r>
          </w:p>
        </w:tc>
      </w:tr>
    </w:tbl>
    <w:p/>
    <w:p>
      <w:pPr>
        <w:pStyle w:val="Heading1"/>
      </w:pPr>
      <w:r>
        <w:t>Carrier Aggregation</w:t>
      </w:r>
    </w:p>
    <w:p>
      <w:r>
        <w:rPr>
          <w:b/>
        </w:rPr>
        <w:t xml:space="preserve">Feature ID: </w:t>
      </w:r>
      <w:r>
        <w:t>FGR-CA0201</w:t>
      </w:r>
    </w:p>
    <w:p>
      <w:pPr>
        <w:pStyle w:val="Heading2"/>
      </w:pPr>
      <w:r>
        <w:t>1. Introduction</w:t>
      </w:r>
    </w:p>
    <w:p>
      <w:r>
        <w:t>Carrier Aggregation (CA) allows a UE to simultaneously transmit and receive on multiple component carriers to increase peak throughput. This feature controls CA enablement, the maximum number of SCells, and SCell activation timing.</w:t>
      </w:r>
    </w:p>
    <w:p>
      <w:pPr>
        <w:pStyle w:val="Heading2"/>
      </w:pPr>
      <w:r>
        <w:t>2. Configuration</w:t>
      </w:r>
    </w:p>
    <w:p>
      <w:r>
        <w:t>CA is configured under NRCellCU via the CarrierAggConfig MO. The feature requires compatible UE capability reporting. SCell activation is deferred by a configurable timer after CA configuration.</w:t>
      </w:r>
    </w:p>
    <w:p>
      <w:pPr>
        <w:pStyle w:val="Heading2"/>
      </w:pPr>
      <w:r>
        <w:t>3. Key Parameters</w:t>
      </w:r>
    </w:p>
    <w:tbl>
      <w:tblPr>
        <w:tblStyle w:val="TableGrid"/>
        <w:tblW w:type="auto" w:w="0"/>
        <w:tblLook w:firstColumn="1" w:firstRow="1" w:lastColumn="0" w:lastRow="0" w:noHBand="0" w:noVBand="1" w:val="04A0"/>
      </w:tblPr>
      <w:tblGrid>
        <w:gridCol w:w="4320"/>
        <w:gridCol w:w="4320"/>
      </w:tblGrid>
      <w:tr>
        <w:tc>
          <w:tcPr>
            <w:tcW w:type="dxa" w:w="4320"/>
          </w:tcPr>
          <w:p>
            <w:r>
              <w:t>Parameter Name</w:t>
            </w:r>
          </w:p>
        </w:tc>
        <w:tc>
          <w:tcPr>
            <w:tcW w:type="dxa" w:w="4320"/>
          </w:tcPr>
          <w:p>
            <w:r>
              <w:t>Description</w:t>
            </w:r>
          </w:p>
        </w:tc>
      </w:tr>
      <w:tr>
        <w:tc>
          <w:tcPr>
            <w:tcW w:type="dxa" w:w="4320"/>
          </w:tcPr>
          <w:p>
            <w:r>
              <w:t>carrier-aggregation-enable</w:t>
            </w:r>
          </w:p>
        </w:tc>
        <w:tc>
          <w:tcPr>
            <w:tcW w:type="dxa" w:w="4320"/>
          </w:tcPr>
          <w:p>
            <w:r>
              <w:t>Enables carrier aggregation for the cell.</w:t>
            </w:r>
          </w:p>
        </w:tc>
      </w:tr>
      <w:tr>
        <w:tc>
          <w:tcPr>
            <w:tcW w:type="dxa" w:w="4320"/>
          </w:tcPr>
          <w:p>
            <w:r>
              <w:t>carrier-aggregation-max-scell</w:t>
            </w:r>
          </w:p>
        </w:tc>
        <w:tc>
          <w:tcPr>
            <w:tcW w:type="dxa" w:w="4320"/>
          </w:tcPr>
          <w:p>
            <w:r>
              <w:t>Maximum number of secondary cells (SCells) per UE.</w:t>
            </w:r>
          </w:p>
        </w:tc>
      </w:tr>
      <w:tr>
        <w:tc>
          <w:tcPr>
            <w:tcW w:type="dxa" w:w="4320"/>
          </w:tcPr>
          <w:p>
            <w:r>
              <w:t>scell-activation-timer</w:t>
            </w:r>
          </w:p>
        </w:tc>
        <w:tc>
          <w:tcPr>
            <w:tcW w:type="dxa" w:w="4320"/>
          </w:tcPr>
          <w:p>
            <w:r>
              <w:t>SCell activation timer in ms after CA configuration.</w:t>
            </w:r>
          </w:p>
        </w:tc>
      </w:tr>
    </w:tbl>
    <w:p/>
    <w:p>
      <w:pPr>
        <w:pStyle w:val="Heading1"/>
      </w:pPr>
      <w:r>
        <w:t>Bandwidth Part Management</w:t>
      </w:r>
    </w:p>
    <w:p>
      <w:r>
        <w:rPr>
          <w:b/>
        </w:rPr>
        <w:t xml:space="preserve">Feature ID: </w:t>
      </w:r>
      <w:r>
        <w:t>FGR-BW0301</w:t>
      </w:r>
    </w:p>
    <w:p>
      <w:pPr>
        <w:pStyle w:val="Heading2"/>
      </w:pPr>
      <w:r>
        <w:t>1. Introduction</w:t>
      </w:r>
    </w:p>
    <w:p>
      <w:r>
        <w:t>Bandwidth Part (BWP) Management controls the active BWP selection and inactivity-based fallback for NR UEs. It reduces UE power consumption by switching to a narrow default BWP when the UE is inactive.</w:t>
      </w:r>
    </w:p>
    <w:p>
      <w:pPr>
        <w:pStyle w:val="Heading2"/>
      </w:pPr>
      <w:r>
        <w:t>2. Configuration</w:t>
      </w:r>
    </w:p>
    <w:p>
      <w:r>
        <w:t>BWP is configured under NRCellDU via the BWPConfig MO. The inactivity timer defines how long the UE stays on the active BWP before reverting to the default BWP. Setting the timer to 0 disables the fallback.</w:t>
      </w:r>
    </w:p>
    <w:p>
      <w:pPr>
        <w:pStyle w:val="Heading2"/>
      </w:pPr>
      <w:r>
        <w:t>3. Key Parameters</w:t>
      </w:r>
    </w:p>
    <w:tbl>
      <w:tblPr>
        <w:tblStyle w:val="TableGrid"/>
        <w:tblW w:type="auto" w:w="0"/>
        <w:tblLook w:firstColumn="1" w:firstRow="1" w:lastColumn="0" w:lastRow="0" w:noHBand="0" w:noVBand="1" w:val="04A0"/>
      </w:tblPr>
      <w:tblGrid>
        <w:gridCol w:w="4320"/>
        <w:gridCol w:w="4320"/>
      </w:tblGrid>
      <w:tr>
        <w:tc>
          <w:tcPr>
            <w:tcW w:type="dxa" w:w="4320"/>
          </w:tcPr>
          <w:p>
            <w:r>
              <w:t>Parameter Name</w:t>
            </w:r>
          </w:p>
        </w:tc>
        <w:tc>
          <w:tcPr>
            <w:tcW w:type="dxa" w:w="4320"/>
          </w:tcPr>
          <w:p>
            <w:r>
              <w:t>Description</w:t>
            </w:r>
          </w:p>
        </w:tc>
      </w:tr>
      <w:tr>
        <w:tc>
          <w:tcPr>
            <w:tcW w:type="dxa" w:w="4320"/>
          </w:tcPr>
          <w:p>
            <w:r>
              <w:t>bwp-inactivity-timer</w:t>
            </w:r>
          </w:p>
        </w:tc>
        <w:tc>
          <w:tcPr>
            <w:tcW w:type="dxa" w:w="4320"/>
          </w:tcPr>
          <w:p>
            <w:r>
              <w:t>Inactivity timer for returning to default BWP (ms). 0 disables.</w:t>
            </w:r>
          </w:p>
        </w:tc>
      </w:tr>
      <w:tr>
        <w:tc>
          <w:tcPr>
            <w:tcW w:type="dxa" w:w="4320"/>
          </w:tcPr>
          <w:p>
            <w:r>
              <w:t>bwp-initial-dl-bandwidth</w:t>
            </w:r>
          </w:p>
        </w:tc>
        <w:tc>
          <w:tcPr>
            <w:tcW w:type="dxa" w:w="4320"/>
          </w:tcPr>
          <w:p>
            <w:r>
              <w:t>Initial downlink BWP bandwidth in resource blocks.</w:t>
            </w:r>
          </w:p>
        </w:tc>
      </w:tr>
    </w:tbl>
    <w:p/>
    <w:p>
      <w:pPr>
        <w:pStyle w:val="Heading1"/>
      </w:pPr>
      <w:r>
        <w:t>Event-Triggered Measurement</w:t>
      </w:r>
    </w:p>
    <w:p>
      <w:r>
        <w:rPr>
          <w:b/>
        </w:rPr>
        <w:t xml:space="preserve">Feature ID: </w:t>
      </w:r>
      <w:r>
        <w:t>FGR-HO0102</w:t>
      </w:r>
    </w:p>
    <w:p>
      <w:pPr>
        <w:pStyle w:val="Heading2"/>
      </w:pPr>
      <w:r>
        <w:t>1. Introduction</w:t>
      </w:r>
    </w:p>
    <w:p>
      <w:r>
        <w:t>Event-Triggered Measurement controls the UE measurement reporting behavior for handover decisions. It defines the time-to-trigger (TTT) duration that the A3 condition must be met before a measurement report is generated.</w:t>
      </w:r>
    </w:p>
    <w:p>
      <w:pPr>
        <w:pStyle w:val="Heading2"/>
      </w:pPr>
      <w:r>
        <w:t>2. Configuration</w:t>
      </w:r>
    </w:p>
    <w:p>
      <w:r>
        <w:t>Measurement is configured under NRCellCU via the MeasConfig MO. The time-to-trigger parameter determines how long the A3 event condition must persist before triggering a report, reducing handover ping-pong effects.</w:t>
      </w:r>
    </w:p>
    <w:p>
      <w:pPr>
        <w:pStyle w:val="Heading2"/>
      </w:pPr>
      <w:r>
        <w:t>3. Key Parameters</w:t>
      </w:r>
    </w:p>
    <w:tbl>
      <w:tblPr>
        <w:tblStyle w:val="TableGrid"/>
        <w:tblW w:type="auto" w:w="0"/>
        <w:tblLook w:firstColumn="1" w:firstRow="1" w:lastColumn="0" w:lastRow="0" w:noHBand="0" w:noVBand="1" w:val="04A0"/>
      </w:tblPr>
      <w:tblGrid>
        <w:gridCol w:w="4320"/>
        <w:gridCol w:w="4320"/>
      </w:tblGrid>
      <w:tr>
        <w:tc>
          <w:tcPr>
            <w:tcW w:type="dxa" w:w="4320"/>
          </w:tcPr>
          <w:p>
            <w:r>
              <w:t>Parameter Name</w:t>
            </w:r>
          </w:p>
        </w:tc>
        <w:tc>
          <w:tcPr>
            <w:tcW w:type="dxa" w:w="4320"/>
          </w:tcPr>
          <w:p>
            <w:r>
              <w:t>Description</w:t>
            </w:r>
          </w:p>
        </w:tc>
      </w:tr>
      <w:tr>
        <w:tc>
          <w:tcPr>
            <w:tcW w:type="dxa" w:w="4320"/>
          </w:tcPr>
          <w:p>
            <w:r>
              <w:t>meas-time-to-trigger</w:t>
            </w:r>
          </w:p>
        </w:tc>
        <w:tc>
          <w:tcPr>
            <w:tcW w:type="dxa" w:w="4320"/>
          </w:tcPr>
          <w:p>
            <w:r>
              <w:t>Time-to-trigger for event evaluation. Values: 0ms to 640ms.</w:t>
            </w:r>
          </w:p>
        </w:tc>
      </w:tr>
    </w:tbl>
    <w:p/>
    <w:p>
      <w:pPr>
        <w:pStyle w:val="Heading1"/>
      </w:pPr>
      <w:r>
        <w:t>Random Access Channel Configuration</w:t>
      </w:r>
    </w:p>
    <w:p>
      <w:r>
        <w:rPr>
          <w:b/>
        </w:rPr>
        <w:t xml:space="preserve">Feature ID: </w:t>
      </w:r>
      <w:r>
        <w:t>FGR-RS0101</w:t>
      </w:r>
    </w:p>
    <w:p>
      <w:pPr>
        <w:pStyle w:val="Heading2"/>
      </w:pPr>
      <w:r>
        <w:t>1. Introduction</w:t>
      </w:r>
    </w:p>
    <w:p>
      <w:r>
        <w:t>Random Access Channel (RACH) Configuration controls the initial access procedure for UEs entering connected mode. It defines the target preamble power and the power ramping step used during preamble retransmissions.</w:t>
      </w:r>
    </w:p>
    <w:p>
      <w:pPr>
        <w:pStyle w:val="Heading2"/>
      </w:pPr>
      <w:r>
        <w:t>2. Configuration</w:t>
      </w:r>
    </w:p>
    <w:p>
      <w:r>
        <w:t>RACH is configured under NRCellDU via the RachConfig MO. The target received power sets the initial preamble power level. The power ramping step controls how aggressively power is increased on retransmission.</w:t>
      </w:r>
    </w:p>
    <w:p>
      <w:pPr>
        <w:pStyle w:val="Heading2"/>
      </w:pPr>
      <w:r>
        <w:t>3. Key Parameters</w:t>
      </w:r>
    </w:p>
    <w:tbl>
      <w:tblPr>
        <w:tblStyle w:val="TableGrid"/>
        <w:tblW w:type="auto" w:w="0"/>
        <w:tblLook w:firstColumn="1" w:firstRow="1" w:lastColumn="0" w:lastRow="0" w:noHBand="0" w:noVBand="1" w:val="04A0"/>
      </w:tblPr>
      <w:tblGrid>
        <w:gridCol w:w="4320"/>
        <w:gridCol w:w="4320"/>
      </w:tblGrid>
      <w:tr>
        <w:tc>
          <w:tcPr>
            <w:tcW w:type="dxa" w:w="4320"/>
          </w:tcPr>
          <w:p>
            <w:r>
              <w:t>Parameter Name</w:t>
            </w:r>
          </w:p>
        </w:tc>
        <w:tc>
          <w:tcPr>
            <w:tcW w:type="dxa" w:w="4320"/>
          </w:tcPr>
          <w:p>
            <w:r>
              <w:t>Description</w:t>
            </w:r>
          </w:p>
        </w:tc>
      </w:tr>
      <w:tr>
        <w:tc>
          <w:tcPr>
            <w:tcW w:type="dxa" w:w="4320"/>
          </w:tcPr>
          <w:p>
            <w:r>
              <w:t>rach-preamble-target-power</w:t>
            </w:r>
          </w:p>
        </w:tc>
        <w:tc>
          <w:tcPr>
            <w:tcW w:type="dxa" w:w="4320"/>
          </w:tcPr>
          <w:p>
            <w:r>
              <w:t>Initial target received power for preamble in dBm.</w:t>
            </w:r>
          </w:p>
        </w:tc>
      </w:tr>
      <w:tr>
        <w:tc>
          <w:tcPr>
            <w:tcW w:type="dxa" w:w="4320"/>
          </w:tcPr>
          <w:p>
            <w:r>
              <w:t>rach-power-ramping-step</w:t>
            </w:r>
          </w:p>
        </w:tc>
        <w:tc>
          <w:tcPr>
            <w:tcW w:type="dxa" w:w="4320"/>
          </w:tcPr>
          <w:p>
            <w:r>
              <w:t>Power ramping step for preamble retransmission. Values: 0dB, 2dB, 4dB, 6dB.</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