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맑은 고딕"/>
          <w:b/>
          <w:color w:val="203C60"/>
          <w:sz w:val="44"/>
        </w:rPr>
        <w:t>제주특별자치도 제주시 관광 기획안</w:t>
      </w:r>
    </w:p>
    <w:p>
      <w:pPr>
        <w:spacing w:after="240"/>
      </w:pPr>
      <w:r>
        <w:rPr>
          <w:rFonts w:ascii="Malgun Gothic" w:hAnsi="Malgun Gothic" w:eastAsia="맑은 고딕"/>
          <w:color w:val="6F8195"/>
          <w:sz w:val="19"/>
        </w:rPr>
        <w:t>관광사업 아이디어 제안 · 목표와 견적은 조정 가능</w:t>
        <w:br/>
        <w:t>분석 기간 2025-07 ~ 2026-06 | 관광데이터랩 원자료와 공식 관광자료 기반</w:t>
      </w:r>
    </w:p>
    <w:p>
      <w:pPr>
        <w:spacing w:before="280" w:after="120"/>
      </w:pPr>
      <w:r>
        <w:rPr>
          <w:rFonts w:ascii="Malgun Gothic" w:hAnsi="Malgun Gothic" w:eastAsia="맑은 고딕"/>
          <w:b/>
          <w:color w:val="2E74B5"/>
          <w:sz w:val="28"/>
        </w:rPr>
        <w:t>1. 핵심 제안</w:t>
      </w:r>
    </w:p>
    <w:p>
      <w:r>
        <w:rPr>
          <w:rFonts w:ascii="Malgun Gothic" w:hAnsi="Malgun Gothic" w:eastAsia="맑은 고딕"/>
          <w:color w:val="6F8195"/>
          <w:sz w:val="18"/>
        </w:rPr>
        <w:t>사용자 입력 조건 | 예산 미정 · 일정 2026-10-01 ~ 2026-12-31</w:t>
      </w:r>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val="0"/>
                <w:color w:val="203C60"/>
                <w:sz w:val="21"/>
              </w:rPr>
              <w:t>제주시의 높은 내비게이션 검색량과 관광소비 잠재력을 활용하여, 외지인 관광객의 지역 내 지출을 유도하는 상품권 환급 프로그램을 제안합니다. 강진 반값여행의 환급 메커니즘을 참고하되, 제주시 상권 특성에 맞춰 특정 업종과 환급 한도를 제한한 시범 사업으로 설계합니다.</w:t>
            </w:r>
          </w:p>
        </w:tc>
      </w:tr>
    </w:tbl>
    <w:p>
      <w:pPr>
        <w:spacing w:before="280" w:after="120"/>
      </w:pPr>
      <w:r>
        <w:rPr>
          <w:rFonts w:ascii="Malgun Gothic" w:hAnsi="Malgun Gothic" w:eastAsia="맑은 고딕"/>
          <w:b/>
          <w:color w:val="2E74B5"/>
          <w:sz w:val="28"/>
        </w:rPr>
        <w:t>2. 최신 현황과 월간 변화</w:t>
      </w:r>
    </w:p>
    <w:tbl>
      <w:tblPr>
        <w:tblW w:type="dxa" w:w="9360"/>
        <w:tblLayout w:type="fixed"/>
        <w:tblLook w:firstColumn="1" w:firstRow="1" w:lastColumn="0" w:lastRow="0" w:noHBand="0" w:noVBand="1" w:val="04A0"/>
        <w:tblInd w:w="120" w:type="dxa"/>
      </w:tblPr>
      <w:tblGrid>
        <w:gridCol w:w="5040"/>
        <w:gridCol w:w="5040"/>
      </w:tblGrid>
      <w:tr>
        <w:tc>
          <w:tcPr>
            <w:tcW w:type="dxa" w:w="300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8"/>
              </w:rPr>
              <w:t>관측 지표</w:t>
            </w:r>
          </w:p>
        </w:tc>
        <w:tc>
          <w:tcPr>
            <w:tcW w:type="dxa" w:w="636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8"/>
              </w:rPr>
              <w:t>최근 값 및 해석</w:t>
            </w:r>
          </w:p>
        </w:tc>
      </w:tr>
      <w:tr>
        <w:tc>
          <w:tcPr>
            <w:tcW w:type="dxa" w:w="5040"/>
          </w:tcPr>
          <w:p>
            <w:pPr>
              <w:spacing w:after="0" w:line="264" w:lineRule="auto"/>
            </w:pPr>
            <w:r>
              <w:rPr>
                <w:rFonts w:ascii="Malgun Gothic" w:hAnsi="Malgun Gothic" w:eastAsia="맑은 고딕"/>
                <w:b/>
                <w:color w:val="203C60"/>
                <w:sz w:val="18"/>
              </w:rPr>
              <w:t>월간 순 방문자 수</w:t>
            </w:r>
          </w:p>
        </w:tc>
        <w:tc>
          <w:tcPr>
            <w:tcW w:type="dxa" w:w="5040"/>
          </w:tcPr>
          <w:p>
            <w:pPr>
              <w:spacing w:after="0" w:line="264" w:lineRule="auto"/>
            </w:pPr>
            <w:r>
              <w:rPr>
                <w:rFonts w:ascii="Malgun Gothic" w:hAnsi="Malgun Gothic" w:eastAsia="맑은 고딕"/>
                <w:b w:val="0"/>
                <w:color w:val="203C60"/>
                <w:sz w:val="18"/>
              </w:rPr>
              <w:t>3,131,476명 | 2026년 6월 기준 외지인 방문 규모는 크나, 전년 동월 대비 8.9% 감소 추세임 (dataset:50110:2)</w:t>
            </w:r>
          </w:p>
        </w:tc>
      </w:tr>
      <w:tr>
        <w:tc>
          <w:tcPr>
            <w:tcW w:type="dxa" w:w="5040"/>
          </w:tcPr>
          <w:p>
            <w:pPr>
              <w:spacing w:after="0" w:line="264" w:lineRule="auto"/>
            </w:pPr>
            <w:r>
              <w:rPr>
                <w:rFonts w:ascii="Malgun Gothic" w:hAnsi="Malgun Gothic" w:eastAsia="맑은 고딕"/>
                <w:b/>
                <w:color w:val="203C60"/>
                <w:sz w:val="18"/>
              </w:rPr>
              <w:t>관광소비 구성</w:t>
            </w:r>
          </w:p>
        </w:tc>
        <w:tc>
          <w:tcPr>
            <w:tcW w:type="dxa" w:w="5040"/>
          </w:tcPr>
          <w:p>
            <w:pPr>
              <w:spacing w:after="0" w:line="264" w:lineRule="auto"/>
            </w:pPr>
            <w:r>
              <w:rPr>
                <w:rFonts w:ascii="Malgun Gothic" w:hAnsi="Malgun Gothic" w:eastAsia="맑은 고딕"/>
                <w:b w:val="0"/>
                <w:color w:val="203C60"/>
                <w:sz w:val="18"/>
              </w:rPr>
              <w:t>쇼핑업 39.0%, 식음료업 38.1% | 쇼핑과 식음료가 소비의 핵심이며, 환급 사업의 주요 타겟 업종으로 적합함 (consumption_by_category)</w:t>
            </w:r>
          </w:p>
        </w:tc>
      </w:tr>
      <w:tr>
        <w:tc>
          <w:tcPr>
            <w:tcW w:type="dxa" w:w="5040"/>
          </w:tcPr>
          <w:p>
            <w:pPr>
              <w:spacing w:after="0" w:line="264" w:lineRule="auto"/>
            </w:pPr>
            <w:r>
              <w:rPr>
                <w:rFonts w:ascii="Malgun Gothic" w:hAnsi="Malgun Gothic" w:eastAsia="맑은 고딕"/>
                <w:b/>
                <w:color w:val="203C60"/>
                <w:sz w:val="18"/>
              </w:rPr>
              <w:t>내비게이션 목적지 검색량</w:t>
            </w:r>
          </w:p>
        </w:tc>
        <w:tc>
          <w:tcPr>
            <w:tcW w:type="dxa" w:w="5040"/>
          </w:tcPr>
          <w:p>
            <w:pPr>
              <w:spacing w:after="0" w:line="264" w:lineRule="auto"/>
            </w:pPr>
            <w:r>
              <w:rPr>
                <w:rFonts w:ascii="Malgun Gothic" w:hAnsi="Malgun Gothic" w:eastAsia="맑은 고딕"/>
                <w:b w:val="0"/>
                <w:color w:val="203C60"/>
                <w:sz w:val="18"/>
              </w:rPr>
              <w:t>580,380건 | 관심도는 높으나 실제 방문 및 숙박으로의 전환을 촉진할 유인책이 필요함 (dataset:50110:6)</w:t>
            </w:r>
          </w:p>
        </w:tc>
      </w:tr>
    </w:tbl>
    <w:p>
      <w:pPr>
        <w:spacing w:after="20"/>
      </w:pPr>
    </w:p>
    <w:p>
      <w:r>
        <w:drawing>
          <wp:inline xmlns:a="http://schemas.openxmlformats.org/drawingml/2006/main" xmlns:pic="http://schemas.openxmlformats.org/drawingml/2006/picture">
            <wp:extent cx="5897880" cy="204801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97880" cy="2048011"/>
                    </a:xfrm>
                    <a:prstGeom prst="rect"/>
                  </pic:spPr>
                </pic:pic>
              </a:graphicData>
            </a:graphic>
          </wp:inline>
        </w:drawing>
      </w:r>
    </w:p>
    <w:p>
      <w:pPr>
        <w:jc w:val="center"/>
      </w:pPr>
      <w:r>
        <w:rPr>
          <w:rFonts w:ascii="Malgun Gothic" w:hAnsi="Malgun Gothic" w:eastAsia="맑은 고딕"/>
          <w:color w:val="6F8195"/>
          <w:sz w:val="17"/>
        </w:rPr>
        <w:t>그림 1. 월간 순 방문자 수와 외지인 관광소비액 추이</w:t>
      </w:r>
    </w:p>
    <w:p>
      <w:pPr>
        <w:pageBreakBefore/>
        <w:spacing w:before="280" w:after="120"/>
      </w:pPr>
      <w:r>
        <w:rPr>
          <w:rFonts w:ascii="Malgun Gothic" w:hAnsi="Malgun Gothic" w:eastAsia="맑은 고딕"/>
          <w:b/>
          <w:color w:val="2E74B5"/>
          <w:sz w:val="28"/>
        </w:rPr>
        <w:t>3. 문제 / 제안과 판단 근거</w:t>
      </w:r>
    </w:p>
    <w:tbl>
      <w:tblPr>
        <w:tblW w:type="dxa" w:w="9360"/>
        <w:tblLayout w:type="fixed"/>
        <w:tblLook w:firstColumn="1" w:firstRow="1" w:lastColumn="0" w:lastRow="0" w:noHBand="0" w:noVBand="1" w:val="04A0"/>
        <w:tblInd w:w="120" w:type="dxa"/>
      </w:tblPr>
      <w:tblGrid>
        <w:gridCol w:w="5040"/>
        <w:gridCol w:w="5040"/>
      </w:tblGrid>
      <w:tr>
        <w:tc>
          <w:tcPr>
            <w:tcW w:type="dxa" w:w="176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8"/>
              </w:rPr>
              <w:t>문제 / 제안</w:t>
            </w:r>
          </w:p>
        </w:tc>
        <w:tc>
          <w:tcPr>
            <w:tcW w:type="dxa" w:w="7600"/>
            <w:tcMar>
              <w:top w:w="80" w:type="dxa"/>
              <w:start w:w="120" w:type="dxa"/>
              <w:bottom w:w="80" w:type="dxa"/>
              <w:end w:w="120" w:type="dxa"/>
            </w:tcMar>
          </w:tcPr>
          <w:p>
            <w:pPr>
              <w:spacing w:after="0" w:line="264" w:lineRule="auto"/>
            </w:pPr>
            <w:r>
              <w:rPr>
                <w:rFonts w:ascii="Malgun Gothic" w:hAnsi="Malgun Gothic" w:eastAsia="맑은 고딕"/>
                <w:b w:val="0"/>
                <w:color w:val="203C60"/>
                <w:sz w:val="18"/>
              </w:rPr>
              <w:t>높은 관광 관심도(검색량) 대비 실제 지역 내 소비 전환 및 체류 유도 필요</w:t>
            </w:r>
          </w:p>
        </w:tc>
      </w:tr>
      <w:tr>
        <w:tc>
          <w:tcPr>
            <w:tcW w:type="dxa" w:w="176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8"/>
              </w:rPr>
              <w:t>이렇게 판단한 이유</w:t>
            </w:r>
          </w:p>
        </w:tc>
        <w:tc>
          <w:tcPr>
            <w:tcW w:type="dxa" w:w="7600"/>
            <w:tcMar>
              <w:top w:w="80" w:type="dxa"/>
              <w:start w:w="120" w:type="dxa"/>
              <w:bottom w:w="80" w:type="dxa"/>
              <w:end w:w="120" w:type="dxa"/>
            </w:tcMar>
          </w:tcPr>
          <w:p>
            <w:pPr>
              <w:spacing w:after="0" w:line="264" w:lineRule="auto"/>
            </w:pPr>
            <w:r>
              <w:rPr>
                <w:rFonts w:ascii="Malgun Gothic" w:hAnsi="Malgun Gothic" w:eastAsia="맑은 고딕"/>
                <w:b w:val="0"/>
                <w:color w:val="203C60"/>
                <w:sz w:val="18"/>
              </w:rPr>
              <w:t>강진 반값여행(case:761228c746fb13)은 지역 지출의 일부를 모바일 상품권으로 환급하여 재소비를 유도함. 제주시의 경우 규모가 훨씬 크므로, 전 지역이 아닌 특정 권역(전통시장, 외식업 등)과 업종에 집중한 시범 사업 형태로 운영하여 예산 효율성을 높임.</w:t>
            </w:r>
          </w:p>
        </w:tc>
      </w:tr>
    </w:tbl>
    <w:p>
      <w:pPr>
        <w:spacing w:before="280" w:after="120"/>
      </w:pPr>
      <w:r>
        <w:rPr>
          <w:rFonts w:ascii="Malgun Gothic" w:hAnsi="Malgun Gothic" w:eastAsia="맑은 고딕"/>
          <w:b/>
          <w:color w:val="2E74B5"/>
          <w:sz w:val="28"/>
        </w:rPr>
        <w:t>4. 해결 방법</w:t>
      </w:r>
    </w:p>
    <w:tbl>
      <w:tblPr>
        <w:tblW w:type="dxa" w:w="9360"/>
        <w:tblLayout w:type="fixed"/>
        <w:tblLook w:firstColumn="1" w:firstRow="1" w:lastColumn="0" w:lastRow="0" w:noHBand="0" w:noVBand="1" w:val="04A0"/>
        <w:tblInd w:w="120" w:type="dxa"/>
      </w:tblPr>
      <w:tblGrid>
        <w:gridCol w:w="5040"/>
        <w:gridCol w:w="5040"/>
      </w:tblGrid>
      <w:tr>
        <w:tc>
          <w:tcPr>
            <w:tcW w:type="dxa" w:w="176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8"/>
              </w:rPr>
              <w:t>실행 방향</w:t>
            </w:r>
          </w:p>
        </w:tc>
        <w:tc>
          <w:tcPr>
            <w:tcW w:type="dxa" w:w="7600"/>
            <w:tcMar>
              <w:top w:w="80" w:type="dxa"/>
              <w:start w:w="120" w:type="dxa"/>
              <w:bottom w:w="80" w:type="dxa"/>
              <w:end w:w="120" w:type="dxa"/>
            </w:tcMar>
          </w:tcPr>
          <w:p>
            <w:pPr>
              <w:spacing w:after="0" w:line="264" w:lineRule="auto"/>
            </w:pPr>
            <w:r>
              <w:rPr>
                <w:rFonts w:ascii="Malgun Gothic" w:hAnsi="Malgun Gothic" w:eastAsia="맑은 고딕"/>
                <w:b w:val="0"/>
                <w:color w:val="203C60"/>
                <w:sz w:val="18"/>
              </w:rPr>
              <w:t>제주시 방문 외지인이 지정된 적격 업종에서 결제 시, 지출액의 일부를 제주시 지역 상품권으로 즉시 또는 사후 환급하여 지역 내 재사용을 유도함.</w:t>
            </w:r>
          </w:p>
        </w:tc>
      </w:tr>
      <w:tr>
        <w:tc>
          <w:tcPr>
            <w:tcW w:type="dxa" w:w="176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8"/>
              </w:rPr>
              <w:t>예상 견적</w:t>
            </w:r>
          </w:p>
        </w:tc>
        <w:tc>
          <w:tcPr>
            <w:tcW w:type="dxa" w:w="7600"/>
            <w:tcMar>
              <w:top w:w="80" w:type="dxa"/>
              <w:start w:w="120" w:type="dxa"/>
              <w:bottom w:w="80" w:type="dxa"/>
              <w:end w:w="120" w:type="dxa"/>
            </w:tcMar>
          </w:tcPr>
          <w:p>
            <w:pPr>
              <w:spacing w:after="0" w:line="264" w:lineRule="auto"/>
            </w:pPr>
            <w:r>
              <w:rPr>
                <w:rFonts w:ascii="Malgun Gothic" w:hAnsi="Malgun Gothic" w:eastAsia="맑은 고딕"/>
                <w:b w:val="0"/>
                <w:color w:val="203C60"/>
                <w:sz w:val="18"/>
              </w:rPr>
              <w:t>총 876,645,000원. 항목별 임시 견적은 뒤의 견적표를 참조하세요. 실제 금액과 다를 수 있습니다.</w:t>
            </w:r>
          </w:p>
        </w:tc>
      </w:tr>
    </w:tbl>
    <w:p>
      <w:pPr>
        <w:spacing w:before="280" w:after="120"/>
      </w:pPr>
      <w:r>
        <w:rPr>
          <w:rFonts w:ascii="Malgun Gothic" w:hAnsi="Malgun Gothic" w:eastAsia="맑은 고딕"/>
          <w:b/>
          <w:color w:val="2E74B5"/>
          <w:sz w:val="28"/>
        </w:rPr>
        <w:t>5. 집행 방법</w:t>
      </w:r>
    </w:p>
    <w:tbl>
      <w:tblPr>
        <w:tblW w:type="dxa" w:w="9360"/>
        <w:tblLayout w:type="fixed"/>
        <w:tblLook w:firstColumn="1" w:firstRow="1" w:lastColumn="0" w:lastRow="0" w:noHBand="0" w:noVBand="1" w:val="04A0"/>
        <w:tblInd w:w="120" w:type="dxa"/>
      </w:tblPr>
      <w:tblGrid>
        <w:gridCol w:w="2520"/>
        <w:gridCol w:w="2520"/>
        <w:gridCol w:w="2520"/>
        <w:gridCol w:w="2520"/>
      </w:tblGrid>
      <w:tr>
        <w:tc>
          <w:tcPr>
            <w:tcW w:type="dxa" w:w="700"/>
            <w:tcMar>
              <w:top w:w="80" w:type="dxa"/>
              <w:start w:w="120" w:type="dxa"/>
              <w:bottom w:w="80" w:type="dxa"/>
              <w:end w:w="120" w:type="dxa"/>
            </w:tcMar>
            <w:shd w:fill="E8F2F8"/>
          </w:tcPr>
          <w:p>
            <w:pPr>
              <w:spacing w:after="0" w:line="252" w:lineRule="auto"/>
            </w:pPr>
            <w:r>
              <w:rPr>
                <w:rFonts w:ascii="Malgun Gothic" w:hAnsi="Malgun Gothic" w:eastAsia="맑은 고딕"/>
                <w:b/>
                <w:color w:val="203C60"/>
                <w:sz w:val="17"/>
              </w:rPr>
              <w:t>순서</w:t>
            </w:r>
          </w:p>
        </w:tc>
        <w:tc>
          <w:tcPr>
            <w:tcW w:type="dxa" w:w="1300"/>
            <w:tcMar>
              <w:top w:w="80" w:type="dxa"/>
              <w:start w:w="120" w:type="dxa"/>
              <w:bottom w:w="80" w:type="dxa"/>
              <w:end w:w="120" w:type="dxa"/>
            </w:tcMar>
            <w:shd w:fill="E8F2F8"/>
          </w:tcPr>
          <w:p>
            <w:pPr>
              <w:spacing w:after="0" w:line="252" w:lineRule="auto"/>
            </w:pPr>
            <w:r>
              <w:rPr>
                <w:rFonts w:ascii="Malgun Gothic" w:hAnsi="Malgun Gothic" w:eastAsia="맑은 고딕"/>
                <w:b/>
                <w:color w:val="203C60"/>
                <w:sz w:val="17"/>
              </w:rPr>
              <w:t>기간</w:t>
            </w:r>
          </w:p>
        </w:tc>
        <w:tc>
          <w:tcPr>
            <w:tcW w:type="dxa" w:w="4560"/>
            <w:tcMar>
              <w:top w:w="80" w:type="dxa"/>
              <w:start w:w="120" w:type="dxa"/>
              <w:bottom w:w="80" w:type="dxa"/>
              <w:end w:w="120" w:type="dxa"/>
            </w:tcMar>
            <w:shd w:fill="E8F2F8"/>
          </w:tcPr>
          <w:p>
            <w:pPr>
              <w:spacing w:after="0" w:line="252" w:lineRule="auto"/>
            </w:pPr>
            <w:r>
              <w:rPr>
                <w:rFonts w:ascii="Malgun Gothic" w:hAnsi="Malgun Gothic" w:eastAsia="맑은 고딕"/>
                <w:b/>
                <w:color w:val="203C60"/>
                <w:sz w:val="17"/>
              </w:rPr>
              <w:t>실행 작업</w:t>
            </w:r>
          </w:p>
        </w:tc>
        <w:tc>
          <w:tcPr>
            <w:tcW w:type="dxa" w:w="2800"/>
            <w:tcMar>
              <w:top w:w="80" w:type="dxa"/>
              <w:start w:w="120" w:type="dxa"/>
              <w:bottom w:w="80" w:type="dxa"/>
              <w:end w:w="120" w:type="dxa"/>
            </w:tcMar>
            <w:shd w:fill="E8F2F8"/>
          </w:tcPr>
          <w:p>
            <w:pPr>
              <w:spacing w:after="0" w:line="252" w:lineRule="auto"/>
            </w:pPr>
            <w:r>
              <w:rPr>
                <w:rFonts w:ascii="Malgun Gothic" w:hAnsi="Malgun Gothic" w:eastAsia="맑은 고딕"/>
                <w:b/>
                <w:color w:val="203C60"/>
                <w:sz w:val="17"/>
              </w:rPr>
              <w:t>완료 산출물</w:t>
            </w:r>
          </w:p>
        </w:tc>
      </w:tr>
      <w:tr>
        <w:tc>
          <w:tcPr>
            <w:tcW w:type="dxa" w:w="2520"/>
          </w:tcPr>
          <w:p>
            <w:pPr>
              <w:spacing w:after="0" w:line="252" w:lineRule="auto"/>
            </w:pPr>
            <w:r>
              <w:rPr>
                <w:rFonts w:ascii="Malgun Gothic" w:hAnsi="Malgun Gothic" w:eastAsia="맑은 고딕"/>
                <w:b/>
                <w:color w:val="2E74B5"/>
                <w:sz w:val="17"/>
              </w:rPr>
              <w:t>1</w:t>
            </w:r>
          </w:p>
        </w:tc>
        <w:tc>
          <w:tcPr>
            <w:tcW w:type="dxa" w:w="2520"/>
          </w:tcPr>
          <w:p>
            <w:pPr>
              <w:spacing w:after="0" w:line="252" w:lineRule="auto"/>
            </w:pPr>
            <w:r>
              <w:rPr>
                <w:rFonts w:ascii="Malgun Gothic" w:hAnsi="Malgun Gothic" w:eastAsia="맑은 고딕"/>
                <w:b/>
                <w:color w:val="203C60"/>
                <w:sz w:val="17"/>
              </w:rPr>
              <w:t>2026-10</w:t>
            </w:r>
          </w:p>
        </w:tc>
        <w:tc>
          <w:tcPr>
            <w:tcW w:type="dxa" w:w="2520"/>
          </w:tcPr>
          <w:p>
            <w:pPr>
              <w:spacing w:after="0" w:line="252" w:lineRule="auto"/>
            </w:pPr>
            <w:r>
              <w:rPr>
                <w:rFonts w:ascii="Malgun Gothic" w:hAnsi="Malgun Gothic" w:eastAsia="맑은 고딕"/>
                <w:b w:val="0"/>
                <w:color w:val="203C60"/>
                <w:sz w:val="17"/>
              </w:rPr>
              <w:t>참여 업체 모집 및 정산 시스템 검증</w:t>
            </w:r>
          </w:p>
        </w:tc>
        <w:tc>
          <w:tcPr>
            <w:tcW w:type="dxa" w:w="2520"/>
          </w:tcPr>
          <w:p>
            <w:pPr>
              <w:spacing w:after="0" w:line="252" w:lineRule="auto"/>
            </w:pPr>
            <w:r>
              <w:rPr>
                <w:rFonts w:ascii="Malgun Gothic" w:hAnsi="Malgun Gothic" w:eastAsia="맑은 고딕"/>
                <w:b w:val="0"/>
                <w:color w:val="203C60"/>
                <w:sz w:val="17"/>
              </w:rPr>
              <w:t>참여 업체 명단 및 디지털 바우처/상품권 정산 프로세스 확정안</w:t>
            </w:r>
          </w:p>
        </w:tc>
      </w:tr>
      <w:tr>
        <w:tc>
          <w:tcPr>
            <w:tcW w:type="dxa" w:w="2520"/>
          </w:tcPr>
          <w:p>
            <w:pPr>
              <w:spacing w:after="0" w:line="252" w:lineRule="auto"/>
            </w:pPr>
            <w:r>
              <w:rPr>
                <w:rFonts w:ascii="Malgun Gothic" w:hAnsi="Malgun Gothic" w:eastAsia="맑은 고딕"/>
                <w:b/>
                <w:color w:val="2E74B5"/>
                <w:sz w:val="17"/>
              </w:rPr>
              <w:t>2</w:t>
            </w:r>
          </w:p>
        </w:tc>
        <w:tc>
          <w:tcPr>
            <w:tcW w:type="dxa" w:w="2520"/>
          </w:tcPr>
          <w:p>
            <w:pPr>
              <w:spacing w:after="0" w:line="252" w:lineRule="auto"/>
            </w:pPr>
            <w:r>
              <w:rPr>
                <w:rFonts w:ascii="Malgun Gothic" w:hAnsi="Malgun Gothic" w:eastAsia="맑은 고딕"/>
                <w:b/>
                <w:color w:val="203C60"/>
                <w:sz w:val="17"/>
              </w:rPr>
              <w:t>2026-10</w:t>
            </w:r>
          </w:p>
        </w:tc>
        <w:tc>
          <w:tcPr>
            <w:tcW w:type="dxa" w:w="2520"/>
          </w:tcPr>
          <w:p>
            <w:pPr>
              <w:spacing w:after="0" w:line="252" w:lineRule="auto"/>
            </w:pPr>
            <w:r>
              <w:rPr>
                <w:rFonts w:ascii="Malgun Gothic" w:hAnsi="Malgun Gothic" w:eastAsia="맑은 고딕"/>
                <w:b w:val="0"/>
                <w:color w:val="203C60"/>
                <w:sz w:val="17"/>
              </w:rPr>
              <w:t>운영 규정 및 환급 가이드라인 수립</w:t>
            </w:r>
          </w:p>
        </w:tc>
        <w:tc>
          <w:tcPr>
            <w:tcW w:type="dxa" w:w="2520"/>
          </w:tcPr>
          <w:p>
            <w:pPr>
              <w:spacing w:after="0" w:line="252" w:lineRule="auto"/>
            </w:pPr>
            <w:r>
              <w:rPr>
                <w:rFonts w:ascii="Malgun Gothic" w:hAnsi="Malgun Gothic" w:eastAsia="맑은 고딕"/>
                <w:b w:val="0"/>
                <w:color w:val="203C60"/>
                <w:sz w:val="17"/>
              </w:rPr>
              <w:t>중복 수혜 방지 및 영수증 검증을 포함한 운영 매뉴얼</w:t>
            </w:r>
          </w:p>
        </w:tc>
      </w:tr>
      <w:tr>
        <w:tc>
          <w:tcPr>
            <w:tcW w:type="dxa" w:w="2520"/>
          </w:tcPr>
          <w:p>
            <w:pPr>
              <w:spacing w:after="0" w:line="252" w:lineRule="auto"/>
            </w:pPr>
            <w:r>
              <w:rPr>
                <w:rFonts w:ascii="Malgun Gothic" w:hAnsi="Malgun Gothic" w:eastAsia="맑은 고딕"/>
                <w:b/>
                <w:color w:val="2E74B5"/>
                <w:sz w:val="17"/>
              </w:rPr>
              <w:t>3</w:t>
            </w:r>
          </w:p>
        </w:tc>
        <w:tc>
          <w:tcPr>
            <w:tcW w:type="dxa" w:w="2520"/>
          </w:tcPr>
          <w:p>
            <w:pPr>
              <w:spacing w:after="0" w:line="252" w:lineRule="auto"/>
            </w:pPr>
            <w:r>
              <w:rPr>
                <w:rFonts w:ascii="Malgun Gothic" w:hAnsi="Malgun Gothic" w:eastAsia="맑은 고딕"/>
                <w:b/>
                <w:color w:val="203C60"/>
                <w:sz w:val="17"/>
              </w:rPr>
              <w:t>2026-10 ~ 2026-12</w:t>
            </w:r>
          </w:p>
        </w:tc>
        <w:tc>
          <w:tcPr>
            <w:tcW w:type="dxa" w:w="2520"/>
          </w:tcPr>
          <w:p>
            <w:pPr>
              <w:spacing w:after="0" w:line="252" w:lineRule="auto"/>
            </w:pPr>
            <w:r>
              <w:rPr>
                <w:rFonts w:ascii="Malgun Gothic" w:hAnsi="Malgun Gothic" w:eastAsia="맑은 고딕"/>
                <w:b w:val="0"/>
                <w:color w:val="203C60"/>
                <w:sz w:val="17"/>
              </w:rPr>
              <w:t>시범 사업 운영 및 실시간 모니터링</w:t>
            </w:r>
          </w:p>
        </w:tc>
        <w:tc>
          <w:tcPr>
            <w:tcW w:type="dxa" w:w="2520"/>
          </w:tcPr>
          <w:p>
            <w:pPr>
              <w:spacing w:after="0" w:line="252" w:lineRule="auto"/>
            </w:pPr>
            <w:r>
              <w:rPr>
                <w:rFonts w:ascii="Malgun Gothic" w:hAnsi="Malgun Gothic" w:eastAsia="맑은 고딕"/>
                <w:b w:val="0"/>
                <w:color w:val="203C60"/>
                <w:sz w:val="17"/>
              </w:rPr>
              <w:t>주간 단위 신청·승인·결제 원장</w:t>
            </w:r>
          </w:p>
        </w:tc>
      </w:tr>
      <w:tr>
        <w:tc>
          <w:tcPr>
            <w:tcW w:type="dxa" w:w="2520"/>
          </w:tcPr>
          <w:p>
            <w:pPr>
              <w:spacing w:after="0" w:line="252" w:lineRule="auto"/>
            </w:pPr>
            <w:r>
              <w:rPr>
                <w:rFonts w:ascii="Malgun Gothic" w:hAnsi="Malgun Gothic" w:eastAsia="맑은 고딕"/>
                <w:b/>
                <w:color w:val="2E74B5"/>
                <w:sz w:val="17"/>
              </w:rPr>
              <w:t>4</w:t>
            </w:r>
          </w:p>
        </w:tc>
        <w:tc>
          <w:tcPr>
            <w:tcW w:type="dxa" w:w="2520"/>
          </w:tcPr>
          <w:p>
            <w:pPr>
              <w:spacing w:after="0" w:line="252" w:lineRule="auto"/>
            </w:pPr>
            <w:r>
              <w:rPr>
                <w:rFonts w:ascii="Malgun Gothic" w:hAnsi="Malgun Gothic" w:eastAsia="맑은 고딕"/>
                <w:b/>
                <w:color w:val="203C60"/>
                <w:sz w:val="17"/>
              </w:rPr>
              <w:t>2026-11</w:t>
            </w:r>
          </w:p>
        </w:tc>
        <w:tc>
          <w:tcPr>
            <w:tcW w:type="dxa" w:w="2520"/>
          </w:tcPr>
          <w:p>
            <w:pPr>
              <w:spacing w:after="0" w:line="252" w:lineRule="auto"/>
            </w:pPr>
            <w:r>
              <w:rPr>
                <w:rFonts w:ascii="Malgun Gothic" w:hAnsi="Malgun Gothic" w:eastAsia="맑은 고딕"/>
                <w:b w:val="0"/>
                <w:color w:val="203C60"/>
                <w:sz w:val="17"/>
              </w:rPr>
              <w:t>중간 성과 점검 및 예산 소진율 확인</w:t>
            </w:r>
          </w:p>
        </w:tc>
        <w:tc>
          <w:tcPr>
            <w:tcW w:type="dxa" w:w="2520"/>
          </w:tcPr>
          <w:p>
            <w:pPr>
              <w:spacing w:after="0" w:line="252" w:lineRule="auto"/>
            </w:pPr>
            <w:r>
              <w:rPr>
                <w:rFonts w:ascii="Malgun Gothic" w:hAnsi="Malgun Gothic" w:eastAsia="맑은 고딕"/>
                <w:b w:val="0"/>
                <w:color w:val="203C60"/>
                <w:sz w:val="17"/>
              </w:rPr>
              <w:t>중간 분석 보고서 (예산 조기 소진 시 규모 축소 검토)</w:t>
            </w:r>
          </w:p>
        </w:tc>
      </w:tr>
      <w:tr>
        <w:tc>
          <w:tcPr>
            <w:tcW w:type="dxa" w:w="2520"/>
          </w:tcPr>
          <w:p>
            <w:pPr>
              <w:spacing w:after="0" w:line="252" w:lineRule="auto"/>
            </w:pPr>
            <w:r>
              <w:rPr>
                <w:rFonts w:ascii="Malgun Gothic" w:hAnsi="Malgun Gothic" w:eastAsia="맑은 고딕"/>
                <w:b/>
                <w:color w:val="2E74B5"/>
                <w:sz w:val="17"/>
              </w:rPr>
              <w:t>5</w:t>
            </w:r>
          </w:p>
        </w:tc>
        <w:tc>
          <w:tcPr>
            <w:tcW w:type="dxa" w:w="2520"/>
          </w:tcPr>
          <w:p>
            <w:pPr>
              <w:spacing w:after="0" w:line="252" w:lineRule="auto"/>
            </w:pPr>
            <w:r>
              <w:rPr>
                <w:rFonts w:ascii="Malgun Gothic" w:hAnsi="Malgun Gothic" w:eastAsia="맑은 고딕"/>
                <w:b/>
                <w:color w:val="203C60"/>
                <w:sz w:val="17"/>
              </w:rPr>
              <w:t>2026-12</w:t>
            </w:r>
          </w:p>
        </w:tc>
        <w:tc>
          <w:tcPr>
            <w:tcW w:type="dxa" w:w="2520"/>
          </w:tcPr>
          <w:p>
            <w:pPr>
              <w:spacing w:after="0" w:line="252" w:lineRule="auto"/>
            </w:pPr>
            <w:r>
              <w:rPr>
                <w:rFonts w:ascii="Malgun Gothic" w:hAnsi="Malgun Gothic" w:eastAsia="맑은 고딕"/>
                <w:b w:val="0"/>
                <w:color w:val="203C60"/>
                <w:sz w:val="17"/>
              </w:rPr>
              <w:t>최종 성과 분석 및 차기 사업 제언</w:t>
            </w:r>
          </w:p>
        </w:tc>
        <w:tc>
          <w:tcPr>
            <w:tcW w:type="dxa" w:w="2520"/>
          </w:tcPr>
          <w:p>
            <w:pPr>
              <w:spacing w:after="0" w:line="252" w:lineRule="auto"/>
            </w:pPr>
            <w:r>
              <w:rPr>
                <w:rFonts w:ascii="Malgun Gothic" w:hAnsi="Malgun Gothic" w:eastAsia="맑은 고딕"/>
                <w:b w:val="0"/>
                <w:color w:val="203C60"/>
                <w:sz w:val="17"/>
              </w:rPr>
              <w:t>최종 결과 보고서 (재사용률 및 순증 결제액 중심)</w:t>
            </w:r>
          </w:p>
        </w:tc>
      </w:tr>
    </w:tbl>
    <w:p>
      <w:pPr>
        <w:pageBreakBefore/>
        <w:spacing w:before="280" w:after="120"/>
      </w:pPr>
      <w:r>
        <w:rPr>
          <w:rFonts w:ascii="Malgun Gothic" w:hAnsi="Malgun Gothic" w:eastAsia="맑은 고딕"/>
          <w:b/>
          <w:color w:val="2E74B5"/>
          <w:sz w:val="28"/>
        </w:rPr>
        <w:t>6. ML 자연추세와 사업 목표</w:t>
      </w:r>
    </w:p>
    <w:tbl>
      <w:tblPr>
        <w:tblW w:type="dxa" w:w="9360"/>
        <w:tblLayout w:type="fixed"/>
        <w:tblLook w:firstColumn="1" w:firstRow="1" w:lastColumn="0" w:lastRow="0" w:noHBand="0" w:noVBand="1" w:val="04A0"/>
        <w:tblInd w:w="120" w:type="dxa"/>
      </w:tblPr>
      <w:tblGrid>
        <w:gridCol w:w="3360"/>
        <w:gridCol w:w="3360"/>
        <w:gridCol w:w="3360"/>
      </w:tblGrid>
      <w:tr>
        <w:tc>
          <w:tcPr>
            <w:tcW w:type="dxa" w:w="312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7"/>
              </w:rPr>
              <w:t>ML 자연추세</w:t>
            </w:r>
          </w:p>
        </w:tc>
        <w:tc>
          <w:tcPr>
            <w:tcW w:type="dxa" w:w="312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7"/>
              </w:rPr>
              <w:t>계획 목표</w:t>
            </w:r>
          </w:p>
        </w:tc>
        <w:tc>
          <w:tcPr>
            <w:tcW w:type="dxa" w:w="312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7"/>
              </w:rPr>
              <w:t>추가로 필요한 수준</w:t>
            </w:r>
          </w:p>
        </w:tc>
      </w:tr>
      <w:tr>
        <w:tc>
          <w:tcPr>
            <w:tcW w:type="dxa" w:w="3120"/>
            <w:tcMar>
              <w:top w:w="80" w:type="dxa"/>
              <w:start w:w="120" w:type="dxa"/>
              <w:bottom w:w="80" w:type="dxa"/>
              <w:end w:w="120" w:type="dxa"/>
            </w:tcMar>
          </w:tcPr>
          <w:p>
            <w:pPr>
              <w:spacing w:after="0" w:line="264" w:lineRule="auto"/>
            </w:pPr>
            <w:r>
              <w:rPr>
                <w:rFonts w:ascii="Malgun Gothic" w:hAnsi="Malgun Gothic" w:eastAsia="맑은 고딕"/>
                <w:b w:val="0"/>
                <w:color w:val="203C60"/>
                <w:sz w:val="17"/>
              </w:rPr>
              <w:t>2026.12</w:t>
              <w:br/>
              <w:t>방문 3,370,793명</w:t>
              <w:br/>
              <w:t>소비 ₩1,494억</w:t>
            </w:r>
          </w:p>
        </w:tc>
        <w:tc>
          <w:tcPr>
            <w:tcW w:type="dxa" w:w="3120"/>
            <w:tcMar>
              <w:top w:w="80" w:type="dxa"/>
              <w:start w:w="120" w:type="dxa"/>
              <w:bottom w:w="80" w:type="dxa"/>
              <w:end w:w="120" w:type="dxa"/>
            </w:tcMar>
          </w:tcPr>
          <w:p>
            <w:pPr>
              <w:spacing w:after="0" w:line="264" w:lineRule="auto"/>
            </w:pPr>
            <w:r>
              <w:rPr>
                <w:rFonts w:ascii="Malgun Gothic" w:hAnsi="Malgun Gothic" w:eastAsia="맑은 고딕"/>
                <w:b w:val="0"/>
                <w:color w:val="203C60"/>
                <w:sz w:val="17"/>
              </w:rPr>
              <w:t>방문 4,044,952명 (+20%)</w:t>
              <w:br/>
              <w:t>소비 ₩1,792억 (+20%)</w:t>
            </w:r>
          </w:p>
        </w:tc>
        <w:tc>
          <w:tcPr>
            <w:tcW w:type="dxa" w:w="3120"/>
            <w:tcMar>
              <w:top w:w="80" w:type="dxa"/>
              <w:start w:w="120" w:type="dxa"/>
              <w:bottom w:w="80" w:type="dxa"/>
              <w:end w:w="120" w:type="dxa"/>
            </w:tcMar>
          </w:tcPr>
          <w:p>
            <w:pPr>
              <w:spacing w:after="0" w:line="264" w:lineRule="auto"/>
            </w:pPr>
            <w:r>
              <w:rPr>
                <w:rFonts w:ascii="Malgun Gothic" w:hAnsi="Malgun Gothic" w:eastAsia="맑은 고딕"/>
                <w:b/>
                <w:color w:val="2E74B5"/>
                <w:sz w:val="17"/>
              </w:rPr>
              <w:t>방문 674,159명</w:t>
              <w:br/>
              <w:t>소비 ₩299억</w:t>
            </w:r>
          </w:p>
        </w:tc>
      </w:tr>
    </w:tbl>
    <w:p>
      <w:pPr>
        <w:spacing w:after="20"/>
      </w:pPr>
    </w:p>
    <w:p>
      <w:r>
        <w:drawing>
          <wp:inline xmlns:a="http://schemas.openxmlformats.org/drawingml/2006/main" xmlns:pic="http://schemas.openxmlformats.org/drawingml/2006/picture">
            <wp:extent cx="5897880" cy="28455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97880" cy="2845555"/>
                    </a:xfrm>
                    <a:prstGeom prst="rect"/>
                  </pic:spPr>
                </pic:pic>
              </a:graphicData>
            </a:graphic>
          </wp:inline>
        </w:drawing>
      </w:r>
    </w:p>
    <w:p>
      <w:pPr>
        <w:jc w:val="center"/>
      </w:pPr>
      <w:r>
        <w:rPr>
          <w:rFonts w:ascii="Malgun Gothic" w:hAnsi="Malgun Gothic" w:eastAsia="맑은 고딕"/>
          <w:color w:val="6F8195"/>
          <w:sz w:val="16"/>
        </w:rPr>
        <w:t>그림 3. 저장 ML 모델의 월별 자연추세와 계획 목표</w:t>
      </w:r>
    </w:p>
    <w:p>
      <w:pPr>
        <w:jc w:val="center"/>
      </w:pPr>
      <w:r>
        <w:rPr>
          <w:rFonts w:ascii="Malgun Gothic" w:hAnsi="Malgun Gothic" w:eastAsia="맑은 고딕"/>
          <w:color w:val="6F8195"/>
          <w:sz w:val="16"/>
        </w:rPr>
        <w:t>자연추세는 과거 이력 기반 전망이며, 사업의 인과효과나 추가 매출 예측이 아닙니다. 3개월 초과 예측 거리는 재귀 검증 범위 밖의 탐색 전망입니다.</w:t>
      </w:r>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val="0"/>
                <w:color w:val="203C60"/>
                <w:sz w:val="18"/>
              </w:rPr>
              <w:t>기대할 수 있는 변화 · 계획 목표: 최종월 ML 기준 전망 대비 방문 +20%, 소비 +20%. 월별 목표는 단계 적용하며 참여·이용 실적은 별도 집계합니다.</w:t>
            </w:r>
          </w:p>
        </w:tc>
      </w:tr>
    </w:tbl>
    <w:p>
      <w:pPr>
        <w:spacing w:before="280" w:after="120"/>
      </w:pPr>
      <w:r>
        <w:rPr>
          <w:rFonts w:ascii="Malgun Gothic" w:hAnsi="Malgun Gothic" w:eastAsia="맑은 고딕"/>
          <w:b/>
          <w:color w:val="2E74B5"/>
          <w:sz w:val="28"/>
        </w:rPr>
        <w:t>목표 KPI의 사례 근거와 설정 기준</w:t>
      </w:r>
    </w:p>
    <w:p>
      <w:r>
        <w:t>강진군의회 2024-11-20 시정연설: 10월 말 관광객 약 248만 명, 전년 대비 25% 증가. 전년 규모 역산: 248만÷1.25≈198.4만 명, 차이≈49.6만 명. 역산값은 별도 관측 원자료가 아니다. 반값여행과 축제의 동시기 실적이며 사업 단독 효과·ML 대비 증가율은 아니다. 제주특별자치도 제주시에서는 최종월 방문 +20%를 도전 목표로 제안한다(25% × 80%). 80%는 전면 적용 대신 단계 운영을 고려한 계획 가정이며 인구 보정·통계 추정 계수가 아니다. 기본 소비 목표는 월별 소비/방문 비율을 추가 방문 수에 적용한 계획 가정이며 강진 소비 실적으로 계산한 값이 아니다. 방문 수가 0보다 큰 월은 ML 소비액÷ML 방문 수를 추가 방문 수에 곱한다. 같은 월의 두 증가율은 같으며, 이 비율은 실제 1인당 소비액이 아니다.</w:t>
      </w:r>
    </w:p>
    <w:p>
      <w:r>
        <w:t>https://clik.nanet.go.kr/minutes/viewer.do?DOCID=CLIKC3524169218564260&amp;collection=minutes</w:t>
      </w:r>
    </w:p>
    <w:p>
      <w:pPr>
        <w:pageBreakBefore/>
        <w:spacing w:before="280" w:after="120"/>
      </w:pPr>
      <w:r>
        <w:rPr>
          <w:rFonts w:ascii="Malgun Gothic" w:hAnsi="Malgun Gothic" w:eastAsia="맑은 고딕"/>
          <w:b/>
          <w:color w:val="2E74B5"/>
          <w:sz w:val="28"/>
        </w:rPr>
        <w:t>견적 예시안</w:t>
      </w:r>
    </w:p>
    <w:tbl>
      <w:tblPr>
        <w:tblW w:type="dxa" w:w="9360"/>
        <w:tblLayout w:type="fixed"/>
        <w:tblLook w:firstColumn="1" w:firstRow="1" w:lastColumn="0" w:lastRow="0" w:noHBand="0" w:noVBand="1" w:val="04A0"/>
        <w:tblInd w:w="120" w:type="dxa"/>
      </w:tblPr>
      <w:tblGrid>
        <w:gridCol w:w="3360"/>
        <w:gridCol w:w="3360"/>
        <w:gridCol w:w="3360"/>
      </w:tblGrid>
      <w:tr>
        <w:tc>
          <w:tcPr>
            <w:tcW w:type="dxa" w:w="210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9"/>
              </w:rPr>
              <w:t>항목</w:t>
            </w:r>
          </w:p>
        </w:tc>
        <w:tc>
          <w:tcPr>
            <w:tcW w:type="dxa" w:w="2000"/>
            <w:tcMar>
              <w:top w:w="80" w:type="dxa"/>
              <w:start w:w="120" w:type="dxa"/>
              <w:bottom w:w="80" w:type="dxa"/>
              <w:end w:w="120" w:type="dxa"/>
            </w:tcMar>
            <w:shd w:fill="E8F2F8"/>
          </w:tcPr>
          <w:p>
            <w:pPr>
              <w:spacing w:after="0" w:line="264" w:lineRule="auto"/>
            </w:pPr>
            <w:r>
              <w:rPr>
                <w:rFonts w:ascii="Malgun Gothic" w:hAnsi="Malgun Gothic" w:eastAsia="맑은 고딕"/>
                <w:b/>
                <w:color w:val="203C60"/>
                <w:sz w:val="19"/>
              </w:rPr>
              <w:t>예상 금액</w:t>
            </w:r>
          </w:p>
        </w:tc>
        <w:tc>
          <w:tcPr>
            <w:tcW w:type="dxa" w:w="5260"/>
            <w:tcMar>
              <w:top w:w="80" w:type="dxa"/>
              <w:start w:w="120" w:type="dxa"/>
              <w:bottom w:w="80" w:type="dxa"/>
              <w:end w:w="120" w:type="dxa"/>
            </w:tcMar>
            <w:shd w:fill="E8F2F8"/>
            <w:shd w:fill="D9EFE3"/>
          </w:tcPr>
          <w:p>
            <w:pPr>
              <w:spacing w:after="0" w:line="264" w:lineRule="auto"/>
            </w:pPr>
            <w:r>
              <w:rPr>
                <w:rFonts w:ascii="Malgun Gothic" w:hAnsi="Malgun Gothic" w:eastAsia="맑은 고딕"/>
                <w:b/>
                <w:color w:val="203C60"/>
                <w:sz w:val="19"/>
              </w:rPr>
              <w:t>산출근거</w:t>
            </w:r>
          </w:p>
        </w:tc>
      </w:tr>
      <w:tr>
        <w:tc>
          <w:tcPr>
            <w:tcW w:type="dxa" w:w="3360"/>
          </w:tcPr>
          <w:p>
            <w:pPr>
              <w:spacing w:after="0" w:line="264" w:lineRule="auto"/>
            </w:pPr>
            <w:r>
              <w:rPr>
                <w:rFonts w:ascii="Malgun Gothic" w:hAnsi="Malgun Gothic" w:eastAsia="맑은 고딕"/>
                <w:b w:val="0"/>
                <w:color w:val="203C60"/>
                <w:sz w:val="18"/>
              </w:rPr>
              <w:t>여행비 환급 지원</w:t>
            </w:r>
          </w:p>
        </w:tc>
        <w:tc>
          <w:tcPr>
            <w:tcW w:type="dxa" w:w="3360"/>
          </w:tcPr>
          <w:p>
            <w:pPr>
              <w:spacing w:after="0" w:line="264" w:lineRule="auto"/>
            </w:pPr>
            <w:r>
              <w:rPr>
                <w:rFonts w:ascii="Malgun Gothic" w:hAnsi="Malgun Gothic" w:eastAsia="맑은 고딕"/>
                <w:b w:val="0"/>
                <w:color w:val="203C60"/>
                <w:sz w:val="18"/>
              </w:rPr>
              <w:t>697,250,000원</w:t>
            </w:r>
          </w:p>
        </w:tc>
        <w:tc>
          <w:tcPr>
            <w:tcW w:type="dxa" w:w="3360"/>
          </w:tcPr>
          <w:p>
            <w:pPr>
              <w:spacing w:after="0" w:line="264" w:lineRule="auto"/>
            </w:pPr>
            <w:r>
              <w:rPr>
                <w:rFonts w:ascii="Malgun Gothic" w:hAnsi="Malgun Gothic" w:eastAsia="맑은 고딕"/>
                <w:b w:val="0"/>
                <w:color w:val="203C60"/>
                <w:sz w:val="18"/>
              </w:rPr>
              <w:t>13,945건 × 50,000원</w:t>
            </w:r>
          </w:p>
        </w:tc>
      </w:tr>
      <w:tr>
        <w:tc>
          <w:tcPr>
            <w:tcW w:type="dxa" w:w="3360"/>
          </w:tcPr>
          <w:p>
            <w:pPr>
              <w:spacing w:after="0" w:line="264" w:lineRule="auto"/>
            </w:pPr>
            <w:r>
              <w:rPr>
                <w:rFonts w:ascii="Malgun Gothic" w:hAnsi="Malgun Gothic" w:eastAsia="맑은 고딕"/>
                <w:b w:val="0"/>
                <w:color w:val="203C60"/>
                <w:sz w:val="18"/>
              </w:rPr>
              <w:t>현장 운영·정산</w:t>
            </w:r>
          </w:p>
        </w:tc>
        <w:tc>
          <w:tcPr>
            <w:tcW w:type="dxa" w:w="3360"/>
          </w:tcPr>
          <w:p>
            <w:pPr>
              <w:spacing w:after="0" w:line="264" w:lineRule="auto"/>
            </w:pPr>
            <w:r>
              <w:rPr>
                <w:rFonts w:ascii="Malgun Gothic" w:hAnsi="Malgun Gothic" w:eastAsia="맑은 고딕"/>
                <w:b w:val="0"/>
                <w:color w:val="203C60"/>
                <w:sz w:val="18"/>
              </w:rPr>
              <w:t>83,700,000원</w:t>
            </w:r>
          </w:p>
        </w:tc>
        <w:tc>
          <w:tcPr>
            <w:tcW w:type="dxa" w:w="3360"/>
          </w:tcPr>
          <w:p>
            <w:pPr>
              <w:spacing w:after="0" w:line="264" w:lineRule="auto"/>
            </w:pPr>
            <w:r>
              <w:rPr>
                <w:rFonts w:ascii="Malgun Gothic" w:hAnsi="Malgun Gothic" w:eastAsia="맑은 고딕"/>
                <w:b w:val="0"/>
                <w:color w:val="203C60"/>
                <w:sz w:val="18"/>
              </w:rPr>
              <w:t>max(월 20인일 × 3, 13,945건 ÷ 25건/인일 올림) = 558인일 × 150,000원</w:t>
            </w:r>
          </w:p>
        </w:tc>
      </w:tr>
      <w:tr>
        <w:tc>
          <w:tcPr>
            <w:tcW w:type="dxa" w:w="3360"/>
          </w:tcPr>
          <w:p>
            <w:pPr>
              <w:spacing w:after="0" w:line="264" w:lineRule="auto"/>
            </w:pPr>
            <w:r>
              <w:rPr>
                <w:rFonts w:ascii="Malgun Gothic" w:hAnsi="Malgun Gothic" w:eastAsia="맑은 고딕"/>
                <w:b w:val="0"/>
                <w:color w:val="203C60"/>
                <w:sz w:val="18"/>
              </w:rPr>
              <w:t>신청·증빙 시스템</w:t>
            </w:r>
          </w:p>
        </w:tc>
        <w:tc>
          <w:tcPr>
            <w:tcW w:type="dxa" w:w="3360"/>
          </w:tcPr>
          <w:p>
            <w:pPr>
              <w:spacing w:after="0" w:line="264" w:lineRule="auto"/>
            </w:pPr>
            <w:r>
              <w:rPr>
                <w:rFonts w:ascii="Malgun Gothic" w:hAnsi="Malgun Gothic" w:eastAsia="맑은 고딕"/>
                <w:b w:val="0"/>
                <w:color w:val="203C60"/>
                <w:sz w:val="18"/>
              </w:rPr>
              <w:t>8,000,000원</w:t>
            </w:r>
          </w:p>
        </w:tc>
        <w:tc>
          <w:tcPr>
            <w:tcW w:type="dxa" w:w="3360"/>
          </w:tcPr>
          <w:p>
            <w:pPr>
              <w:spacing w:after="0" w:line="264" w:lineRule="auto"/>
            </w:pPr>
            <w:r>
              <w:rPr>
                <w:rFonts w:ascii="Malgun Gothic" w:hAnsi="Malgun Gothic" w:eastAsia="맑은 고딕"/>
                <w:b w:val="0"/>
                <w:color w:val="203C60"/>
                <w:sz w:val="18"/>
              </w:rPr>
              <w:t>기존 시스템 설정 1식 × 800만원</w:t>
            </w:r>
          </w:p>
        </w:tc>
      </w:tr>
      <w:tr>
        <w:tc>
          <w:tcPr>
            <w:tcW w:type="dxa" w:w="3360"/>
          </w:tcPr>
          <w:p>
            <w:pPr>
              <w:spacing w:after="0" w:line="264" w:lineRule="auto"/>
            </w:pPr>
            <w:r>
              <w:rPr>
                <w:rFonts w:ascii="Malgun Gothic" w:hAnsi="Malgun Gothic" w:eastAsia="맑은 고딕"/>
                <w:b w:val="0"/>
                <w:color w:val="203C60"/>
                <w:sz w:val="18"/>
              </w:rPr>
              <w:t>홍보·참여처 안내</w:t>
            </w:r>
          </w:p>
        </w:tc>
        <w:tc>
          <w:tcPr>
            <w:tcW w:type="dxa" w:w="3360"/>
          </w:tcPr>
          <w:p>
            <w:pPr>
              <w:spacing w:after="0" w:line="264" w:lineRule="auto"/>
            </w:pPr>
            <w:r>
              <w:rPr>
                <w:rFonts w:ascii="Malgun Gothic" w:hAnsi="Malgun Gothic" w:eastAsia="맑은 고딕"/>
                <w:b w:val="0"/>
                <w:color w:val="203C60"/>
                <w:sz w:val="18"/>
              </w:rPr>
              <w:t>5,000,000원</w:t>
            </w:r>
          </w:p>
        </w:tc>
        <w:tc>
          <w:tcPr>
            <w:tcW w:type="dxa" w:w="3360"/>
          </w:tcPr>
          <w:p>
            <w:pPr>
              <w:spacing w:after="0" w:line="264" w:lineRule="auto"/>
            </w:pPr>
            <w:r>
              <w:rPr>
                <w:rFonts w:ascii="Malgun Gothic" w:hAnsi="Malgun Gothic" w:eastAsia="맑은 고딕"/>
                <w:b w:val="0"/>
                <w:color w:val="203C60"/>
                <w:sz w:val="18"/>
              </w:rPr>
              <w:t>콘텐츠·안내물 1식 × 500만원</w:t>
            </w:r>
          </w:p>
        </w:tc>
      </w:tr>
      <w:tr>
        <w:tc>
          <w:tcPr>
            <w:tcW w:type="dxa" w:w="3360"/>
          </w:tcPr>
          <w:p>
            <w:pPr>
              <w:spacing w:after="0" w:line="264" w:lineRule="auto"/>
            </w:pPr>
            <w:r>
              <w:rPr>
                <w:rFonts w:ascii="Malgun Gothic" w:hAnsi="Malgun Gothic" w:eastAsia="맑은 고딕"/>
                <w:b w:val="0"/>
                <w:color w:val="203C60"/>
                <w:sz w:val="18"/>
              </w:rPr>
              <w:t>성과 집계·검토</w:t>
            </w:r>
          </w:p>
        </w:tc>
        <w:tc>
          <w:tcPr>
            <w:tcW w:type="dxa" w:w="3360"/>
          </w:tcPr>
          <w:p>
            <w:pPr>
              <w:spacing w:after="0" w:line="264" w:lineRule="auto"/>
            </w:pPr>
            <w:r>
              <w:rPr>
                <w:rFonts w:ascii="Malgun Gothic" w:hAnsi="Malgun Gothic" w:eastAsia="맑은 고딕"/>
                <w:b w:val="0"/>
                <w:color w:val="203C60"/>
                <w:sz w:val="18"/>
              </w:rPr>
              <w:t>3,000,000원</w:t>
            </w:r>
          </w:p>
        </w:tc>
        <w:tc>
          <w:tcPr>
            <w:tcW w:type="dxa" w:w="3360"/>
          </w:tcPr>
          <w:p>
            <w:pPr>
              <w:spacing w:after="0" w:line="264" w:lineRule="auto"/>
            </w:pPr>
            <w:r>
              <w:rPr>
                <w:rFonts w:ascii="Malgun Gothic" w:hAnsi="Malgun Gothic" w:eastAsia="맑은 고딕"/>
                <w:b w:val="0"/>
                <w:color w:val="203C60"/>
                <w:sz w:val="18"/>
              </w:rPr>
              <w:t>자료 정리·평가 1식 × 300만원</w:t>
            </w:r>
          </w:p>
        </w:tc>
      </w:tr>
      <w:tr>
        <w:tc>
          <w:tcPr>
            <w:tcW w:type="dxa" w:w="3360"/>
          </w:tcPr>
          <w:p>
            <w:pPr>
              <w:spacing w:after="0" w:line="264" w:lineRule="auto"/>
            </w:pPr>
            <w:r>
              <w:rPr>
                <w:rFonts w:ascii="Malgun Gothic" w:hAnsi="Malgun Gothic" w:eastAsia="맑은 고딕"/>
                <w:b w:val="0"/>
                <w:color w:val="203C60"/>
                <w:sz w:val="18"/>
              </w:rPr>
              <w:t>예비비</w:t>
            </w:r>
          </w:p>
        </w:tc>
        <w:tc>
          <w:tcPr>
            <w:tcW w:type="dxa" w:w="3360"/>
          </w:tcPr>
          <w:p>
            <w:pPr>
              <w:spacing w:after="0" w:line="264" w:lineRule="auto"/>
            </w:pPr>
            <w:r>
              <w:rPr>
                <w:rFonts w:ascii="Malgun Gothic" w:hAnsi="Malgun Gothic" w:eastAsia="맑은 고딕"/>
                <w:b w:val="0"/>
                <w:color w:val="203C60"/>
                <w:sz w:val="18"/>
              </w:rPr>
              <w:t>79,695,000원</w:t>
            </w:r>
          </w:p>
        </w:tc>
        <w:tc>
          <w:tcPr>
            <w:tcW w:type="dxa" w:w="3360"/>
          </w:tcPr>
          <w:p>
            <w:pPr>
              <w:spacing w:after="0" w:line="264" w:lineRule="auto"/>
            </w:pPr>
            <w:r>
              <w:rPr>
                <w:rFonts w:ascii="Malgun Gothic" w:hAnsi="Malgun Gothic" w:eastAsia="맑은 고딕"/>
                <w:b w:val="0"/>
                <w:color w:val="203C60"/>
                <w:sz w:val="18"/>
              </w:rPr>
              <w:t>직접비 79,695만원 × 10%</w:t>
            </w:r>
          </w:p>
        </w:tc>
      </w:tr>
    </w:tbl>
    <w:p>
      <w:r>
        <w:t>예상 총액 876,645,000원. 수량·단가를 가정한 참고 견적으로 실제 금액과 다를 수 있습니다.</w:t>
      </w:r>
    </w:p>
    <w:p>
      <w:r>
        <w:t>사업기간 추가 방문 목표 1,394,404명 × 시범 담당 비중 1% → 13,945건(올림). 1%는 직접 운영할 참여량 배분 가정이며 전환율 예측이 아닙니다.</w:t>
      </w:r>
    </w:p>
    <w:p>
      <w:pPr>
        <w:pageBreakBefore/>
        <w:spacing w:before="280" w:after="120"/>
      </w:pPr>
      <w:r>
        <w:rPr>
          <w:rFonts w:ascii="Malgun Gothic" w:hAnsi="Malgun Gothic" w:eastAsia="맑은 고딕"/>
          <w:b/>
          <w:color w:val="2E74B5"/>
          <w:sz w:val="28"/>
        </w:rPr>
        <w:t>산출 근거 1 · 전망과 목표 계산</w:t>
      </w:r>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color w:val="2E74B5"/>
                <w:sz w:val="24"/>
              </w:rPr>
              <w:t>월별 기준 전망</w:t>
            </w:r>
          </w:p>
        </w:tc>
      </w:tr>
      <w:tr>
        <w:tc>
          <w:tcPr>
            <w:tcW w:type="dxa" w:w="9360"/>
            <w:tcMar>
              <w:top w:w="80" w:type="dxa"/>
              <w:start w:w="120" w:type="dxa"/>
              <w:bottom w:w="80" w:type="dxa"/>
              <w:end w:w="120" w:type="dxa"/>
            </w:tcMar>
          </w:tcPr>
          <w:p>
            <w:pPr>
              <w:spacing w:after="0" w:line="264" w:lineRule="auto"/>
            </w:pPr>
            <w:r>
              <w:rPr>
                <w:rFonts w:ascii="Malgun Gothic" w:hAnsi="Malgun Gothic" w:eastAsia="맑은 고딕"/>
                <w:b w:val="0"/>
                <w:color w:val="203C60"/>
                <w:sz w:val="20"/>
              </w:rPr>
              <w:t>202401~202606 월별 데이터에서 1·3·12개월 전 값과 계절 정보를 구성합니다. 방문은 랜덤 포레스트, 소비는 선형 회귀로 산출합니다. 전년 동월 기준모델이 선택된 지표는 해당 월의 전년 값을 사용합니다. 최신 관측월 이후를 순차 계산한 뒤 사업기간의 3개월을 표시합니다.</w:t>
            </w:r>
          </w:p>
        </w:tc>
      </w:tr>
    </w:tbl>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color w:val="2E74B5"/>
                <w:sz w:val="24"/>
              </w:rPr>
              <w:t>3개월 목표 계산</w:t>
            </w:r>
          </w:p>
        </w:tc>
      </w:tr>
      <w:tr>
        <w:tc>
          <w:tcPr>
            <w:tcW w:type="dxa" w:w="9360"/>
            <w:tcMar>
              <w:top w:w="80" w:type="dxa"/>
              <w:start w:w="120" w:type="dxa"/>
              <w:bottom w:w="80" w:type="dxa"/>
              <w:end w:w="120" w:type="dxa"/>
            </w:tcMar>
          </w:tcPr>
          <w:p>
            <w:pPr>
              <w:spacing w:after="0" w:line="264" w:lineRule="auto"/>
            </w:pPr>
            <w:r>
              <w:rPr>
                <w:rFonts w:ascii="Malgun Gothic" w:hAnsi="Malgun Gothic" w:eastAsia="맑은 고딕"/>
                <w:b w:val="0"/>
                <w:color w:val="203C60"/>
                <w:sz w:val="20"/>
              </w:rPr>
              <w:t>방문자 수: 기준 10,580,165명 → 목표 11,974,569명 (추가 1,394,404명, +13.18%)</w:t>
              <w:br/>
              <w:t>관광소비액: 기준 444,918,852,321원 → 목표 504,168,003,742원 (추가 59,249,151,421원, +13.32%)</w:t>
              <w:br/>
              <w:t>월별 목표 = 월별 기준 전망 × (1 + 최종월 목표율 × 경과월/전체월). 합계 증가율 = (월별 목표 합계 ÷ 월별 기준 합계 − 1) × 100. 방문 합계는 월간 순 방문 수의 합계로, 3개월 고유 인원과 다릅니다.</w:t>
            </w:r>
          </w:p>
        </w:tc>
      </w:tr>
    </w:tbl>
    <w:p/>
    <w:p>
      <w:pPr>
        <w:pageBreakBefore/>
        <w:spacing w:before="280" w:after="120"/>
      </w:pPr>
      <w:r>
        <w:rPr>
          <w:rFonts w:ascii="Malgun Gothic" w:hAnsi="Malgun Gothic" w:eastAsia="맑은 고딕"/>
          <w:b/>
          <w:color w:val="2E74B5"/>
          <w:sz w:val="28"/>
        </w:rPr>
        <w:t>산출 근거 2 · 사례 선정과 운영 예산</w:t>
      </w:r>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color w:val="2E74B5"/>
                <w:sz w:val="24"/>
              </w:rPr>
              <w:t>공식 사례에서 사업 후보까지</w:t>
            </w:r>
          </w:p>
        </w:tc>
      </w:tr>
      <w:tr>
        <w:tc>
          <w:tcPr>
            <w:tcW w:type="dxa" w:w="9360"/>
            <w:tcMar>
              <w:top w:w="80" w:type="dxa"/>
              <w:start w:w="120" w:type="dxa"/>
              <w:bottom w:w="80" w:type="dxa"/>
              <w:end w:w="120" w:type="dxa"/>
            </w:tcMar>
          </w:tcPr>
          <w:p>
            <w:pPr>
              <w:spacing w:after="0" w:line="264" w:lineRule="auto"/>
            </w:pPr>
            <w:r>
              <w:rPr>
                <w:rFonts w:ascii="Malgun Gothic" w:hAnsi="Malgun Gothic" w:eastAsia="맑은 고딕"/>
                <w:b w:val="0"/>
                <w:color w:val="203C60"/>
                <w:sz w:val="20"/>
              </w:rPr>
              <w:t>저장 보고서의 공식 사례 8건 → 설계 후보 2개 → 선정 사업의 운영 근거와 추가 참고 사례 3건 표시. 지역 원자료·7개 전망·공식 사례를 읽은 Qwen이 후보를 비교하고, 같은 운영 방식의 공식 문서를 함수로 연결합니다. 방문·소비 전망은 그래프와 목표 규모의 기준값입니다. 체류시간·숙박일수·숙박방문 비율·내비게이션 검색·숙박 검색 전망은 관광 흐름을 진단하고 조사·설계 방향을 검토하는 입력입니다. 7개 예측값으로 학습한 지역 추천 모델이나 주민 인구 비례 순위가 아닙니다. 표시 건수는 보고서에 남은 기록 기준입니다.</w:t>
            </w:r>
          </w:p>
        </w:tc>
      </w:tr>
    </w:tbl>
    <w:p/>
    <w:tbl>
      <w:tblPr>
        <w:tblW w:type="dxa" w:w="9360"/>
        <w:tblLayout w:type="fixed"/>
        <w:tblLook w:firstColumn="1" w:firstRow="1" w:lastColumn="0" w:lastRow="0" w:noHBand="0" w:noVBand="1" w:val="04A0"/>
        <w:tblInd w:w="120" w:type="dxa"/>
      </w:tblPr>
      <w:tblGrid>
        <w:gridCol w:w="10080"/>
      </w:tblGrid>
      <w:tr>
        <w:tc>
          <w:tcPr>
            <w:tcW w:type="dxa" w:w="9360"/>
            <w:tcMar>
              <w:top w:w="80" w:type="dxa"/>
              <w:start w:w="120" w:type="dxa"/>
              <w:bottom w:w="80" w:type="dxa"/>
              <w:end w:w="120" w:type="dxa"/>
            </w:tcMar>
            <w:shd w:fill="EAF8F8"/>
          </w:tcPr>
          <w:p>
            <w:pPr>
              <w:spacing w:after="0" w:line="264" w:lineRule="auto"/>
            </w:pPr>
            <w:r>
              <w:rPr>
                <w:rFonts w:ascii="Malgun Gothic" w:hAnsi="Malgun Gothic" w:eastAsia="맑은 고딕"/>
                <w:b/>
                <w:color w:val="2E74B5"/>
                <w:sz w:val="24"/>
              </w:rPr>
              <w:t>목표율과 운영 예산의 연결</w:t>
            </w:r>
          </w:p>
        </w:tc>
      </w:tr>
      <w:tr>
        <w:tc>
          <w:tcPr>
            <w:tcW w:type="dxa" w:w="9360"/>
            <w:tcMar>
              <w:top w:w="80" w:type="dxa"/>
              <w:start w:w="120" w:type="dxa"/>
              <w:bottom w:w="80" w:type="dxa"/>
              <w:end w:w="120" w:type="dxa"/>
            </w:tcMar>
          </w:tcPr>
          <w:p>
            <w:pPr>
              <w:spacing w:after="0" w:line="264" w:lineRule="auto"/>
            </w:pPr>
            <w:r>
              <w:rPr>
                <w:rFonts w:ascii="Malgun Gothic" w:hAnsi="Malgun Gothic" w:eastAsia="맑은 고딕"/>
                <w:b w:val="0"/>
                <w:color w:val="203C60"/>
                <w:sz w:val="20"/>
              </w:rPr>
              <w:t>강진군의회 2024-11-20 시정연설: 10월 말 관광객 약 248만 명, 전년 대비 25% 증가. 전년 규모 역산: 248만÷1.25≈198.4만 명, 차이≈49.6만 명. 역산값은 별도 관측 원자료가 아니다. 반값여행과 축제의 동시기 실적이며 사업 단독 효과·ML 대비 증가율은 아니다. 제주특별자치도 제주시에서는 최종월 방문 +20%를 도전 목표로 제안한다(25% × 80%). 80%는 전면 적용 대신 단계 운영을 고려한 계획 가정이며 인구 보정·통계 추정 계수가 아니다. 기본 소비 목표는 월별 소비/방문 비율을 추가 방문 수에 적용한 계획 가정이며 강진 소비 실적으로 계산한 값이 아니다. 방문 수가 0보다 큰 월은 ML 소비액÷ML 방문 수를 추가 방문 수에 곱한다. 같은 월의 두 증가율은 같으며, 이 비율은 실제 1인당 소비액이 아니다.</w:t>
              <w:br/>
              <w:t>사업기간 추가 방문 목표 1,394,404명 × 시범 담당 비중 1% → 13,945건(올림). 1%는 직접 운영할 참여량 배분 가정이며 전환율 예측이 아닙니다.</w:t>
              <w:br/>
              <w:t>참여량·단가·운영 처리량은 기획 가정입니다. 운영 예산이 지역 전체 목표 증가를 발생시킨다는 인과 계산은 아닙니다.</w:t>
            </w:r>
          </w:p>
        </w:tc>
      </w:tr>
    </w:tbl>
    <w:p/>
    <w:p>
      <w:pPr>
        <w:pageBreakBefore/>
        <w:spacing w:before="280" w:after="120"/>
      </w:pPr>
      <w:r>
        <w:rPr>
          <w:rFonts w:ascii="Malgun Gothic" w:hAnsi="Malgun Gothic" w:eastAsia="맑은 고딕"/>
          <w:b/>
          <w:color w:val="2E74B5"/>
          <w:sz w:val="28"/>
        </w:rPr>
        <w:t>7. 참고한 공식 사례·데이터</w:t>
      </w:r>
    </w:p>
    <w:tbl>
      <w:tblPr>
        <w:tblW w:type="dxa" w:w="9360"/>
        <w:tblLayout w:type="fixed"/>
        <w:tblLook w:firstColumn="1" w:firstRow="1" w:lastColumn="0" w:lastRow="0" w:noHBand="0" w:noVBand="1" w:val="04A0"/>
        <w:tblInd w:w="120" w:type="dxa"/>
      </w:tblPr>
      <w:tblGrid>
        <w:gridCol w:w="5040"/>
        <w:gridCol w:w="5040"/>
      </w:tblGrid>
      <w:tr>
        <w:tc>
          <w:tcPr>
            <w:tcW w:type="dxa" w:w="310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6"/>
              </w:rPr>
              <w:t>공식 사례</w:t>
            </w:r>
          </w:p>
        </w:tc>
        <w:tc>
          <w:tcPr>
            <w:tcW w:type="dxa" w:w="6260"/>
            <w:tcMar>
              <w:top w:w="80" w:type="dxa"/>
              <w:start w:w="120" w:type="dxa"/>
              <w:bottom w:w="80" w:type="dxa"/>
              <w:end w:w="120" w:type="dxa"/>
            </w:tcMar>
            <w:shd w:fill="EAF8F8"/>
          </w:tcPr>
          <w:p>
            <w:pPr>
              <w:spacing w:after="0" w:line="264" w:lineRule="auto"/>
            </w:pPr>
            <w:r>
              <w:rPr>
                <w:rFonts w:ascii="Malgun Gothic" w:hAnsi="Malgun Gothic" w:eastAsia="맑은 고딕"/>
                <w:b/>
                <w:color w:val="203C60"/>
                <w:sz w:val="16"/>
              </w:rPr>
              <w:t>전략에 참고한 내용</w:t>
            </w:r>
          </w:p>
        </w:tc>
      </w:tr>
      <w:tr>
        <w:tc>
          <w:tcPr>
            <w:tcW w:type="dxa" w:w="5040"/>
          </w:tcPr>
          <w:p>
            <w:pPr>
              <w:spacing w:after="0" w:line="264" w:lineRule="auto"/>
            </w:pPr>
            <w:r>
              <w:rPr>
                <w:rFonts w:ascii="Malgun Gothic" w:hAnsi="Malgun Gothic" w:eastAsia="맑은 고딕"/>
                <w:b/>
                <w:color w:val="203C60"/>
                <w:sz w:val="15"/>
              </w:rPr>
              <w:t>핵심 운영 참고</w:t>
              <w:br/>
              <w:t>한국관광 데이터랩 우수 활용사례(2025)—데이터 기반 강진 반값여행으로 지역 경제를 살리다</w:t>
            </w:r>
          </w:p>
        </w:tc>
        <w:tc>
          <w:tcPr>
            <w:tcW w:type="dxa" w:w="5040"/>
          </w:tcPr>
          <w:p>
            <w:pPr>
              <w:spacing w:after="0" w:line="264" w:lineRule="auto"/>
            </w:pPr>
            <w:r>
              <w:rPr>
                <w:rFonts w:ascii="Malgun Gothic" w:hAnsi="Malgun Gothic" w:eastAsia="맑은 고딕"/>
                <w:b w:val="0"/>
                <w:color w:val="203C60"/>
                <w:sz w:val="15"/>
              </w:rPr>
              <w:t>전라남도 강진군 · 강진 반값여행—지역지출 환급과 지역상품권 재소비 · 공식 데이터랩 활용사례는 2024년 관광객 43만명 증가, 방문인구 74만명 증가, 지역 내 소비 69억원, 강진사랑상품권 사용률…</w:t>
            </w:r>
          </w:p>
        </w:tc>
      </w:tr>
      <w:tr>
        <w:tc>
          <w:tcPr>
            <w:tcW w:type="dxa" w:w="5040"/>
          </w:tcPr>
          <w:p>
            <w:pPr>
              <w:spacing w:after="0" w:line="264" w:lineRule="auto"/>
            </w:pPr>
            <w:r>
              <w:rPr>
                <w:rFonts w:ascii="Malgun Gothic" w:hAnsi="Malgun Gothic" w:eastAsia="맑은 고딕"/>
                <w:b/>
                <w:color w:val="203C60"/>
                <w:sz w:val="15"/>
              </w:rPr>
              <w:t>후보 비교에 사용한 사례</w:t>
              <w:br/>
              <w:t>서울달(SEOULDAL)—서울 정책 아카이브</w:t>
            </w:r>
          </w:p>
        </w:tc>
        <w:tc>
          <w:tcPr>
            <w:tcW w:type="dxa" w:w="5040"/>
          </w:tcPr>
          <w:p>
            <w:pPr>
              <w:spacing w:after="0" w:line="264" w:lineRule="auto"/>
            </w:pPr>
            <w:r>
              <w:rPr>
                <w:rFonts w:ascii="Malgun Gothic" w:hAnsi="Malgun Gothic" w:eastAsia="맑은 고딕"/>
                <w:b w:val="0"/>
                <w:color w:val="203C60"/>
                <w:sz w:val="15"/>
              </w:rPr>
              <w:t>서울특별시 영등포구 여의도 · 서울달—예약채널 확대와 야간 운영시간 연장 · 정식 운영 100일 만에 누적 탑승객 2만명을 기록했고, 2026년 6월 누적 10만명을 넘어섰다. 공식 정책 페이지는 외국인…</w:t>
            </w:r>
          </w:p>
        </w:tc>
      </w:tr>
      <w:tr>
        <w:tc>
          <w:tcPr>
            <w:tcW w:type="dxa" w:w="5040"/>
          </w:tcPr>
          <w:p>
            <w:pPr>
              <w:spacing w:after="0" w:line="264" w:lineRule="auto"/>
            </w:pPr>
            <w:r>
              <w:rPr>
                <w:rFonts w:ascii="Malgun Gothic" w:hAnsi="Malgun Gothic" w:eastAsia="맑은 고딕"/>
                <w:b/>
                <w:color w:val="203C60"/>
                <w:sz w:val="15"/>
              </w:rPr>
              <w:t>추가 운영 참고</w:t>
              <w:br/>
              <w:t>외국인 개별관광객 지방 방문 촉진 고토치 셔틀 운영자료</w:t>
            </w:r>
          </w:p>
        </w:tc>
        <w:tc>
          <w:tcPr>
            <w:tcW w:type="dxa" w:w="5040"/>
          </w:tcPr>
          <w:p>
            <w:pPr>
              <w:spacing w:after="0" w:line="264" w:lineRule="auto"/>
            </w:pPr>
            <w:r>
              <w:rPr>
                <w:rFonts w:ascii="Malgun Gothic" w:hAnsi="Malgun Gothic" w:eastAsia="맑은 고딕"/>
                <w:b w:val="0"/>
                <w:color w:val="203C60"/>
                <w:sz w:val="15"/>
              </w:rPr>
              <w:t>서울 출발 지방 관광지 연계 노선 · 고토치 셔틀—외국인 대상 예약·결제형 지역관광 버스 · 공식 자료는 2014년 이후 2019년 공개 시점까지 약 6,000명이 이용했다고 밝혔다. 이용자 수는…</w:t>
            </w:r>
          </w:p>
        </w:tc>
      </w:tr>
    </w:tbl>
    <w:p>
      <w:pPr>
        <w:pStyle w:val="ListBullet"/>
        <w:spacing w:after="20"/>
        <w:ind w:left="216"/>
      </w:pPr>
      <w:r>
        <w:rPr>
          <w:rFonts w:ascii="Malgun Gothic" w:hAnsi="Malgun Gothic" w:eastAsia="맑은 고딕"/>
          <w:color w:val="6F8195"/>
          <w:sz w:val="16"/>
        </w:rPr>
        <w:t>관광데이터랩 · 한국관광 데이터랩 · 제주특별자치도 제주시 순 방문자 수 및 숙박 비율 (이동통신 기반 외지인)</w:t>
      </w:r>
    </w:p>
    <w:p>
      <w:pPr>
        <w:pStyle w:val="ListBullet"/>
        <w:spacing w:after="20"/>
        <w:ind w:left="216"/>
      </w:pPr>
      <w:r>
        <w:rPr>
          <w:rFonts w:ascii="Malgun Gothic" w:hAnsi="Malgun Gothic" w:eastAsia="맑은 고딕"/>
          <w:color w:val="6F8195"/>
          <w:sz w:val="16"/>
        </w:rPr>
        <w:t>관광데이터랩 · 한국관광 데이터랩 · 제주특별자치도 제주시 월간 순 방문자 수 (이동통신 기반 외지인)</w:t>
      </w:r>
    </w:p>
    <w:p>
      <w:pPr>
        <w:pStyle w:val="ListBullet"/>
        <w:spacing w:after="20"/>
        <w:ind w:left="216"/>
      </w:pPr>
      <w:r>
        <w:rPr>
          <w:rFonts w:ascii="Malgun Gothic" w:hAnsi="Malgun Gothic" w:eastAsia="맑은 고딕"/>
          <w:color w:val="6F8195"/>
          <w:sz w:val="16"/>
        </w:rPr>
        <w:t>관광데이터랩 · 한국관광 데이터랩 · 제주특별자치도 제주시 관광소비 추이_외지인</w:t>
      </w:r>
    </w:p>
    <w:p>
      <w:pPr>
        <w:pStyle w:val="ListBullet"/>
        <w:spacing w:after="20"/>
        <w:ind w:left="216"/>
      </w:pPr>
      <w:r>
        <w:rPr>
          <w:rFonts w:ascii="Malgun Gothic" w:hAnsi="Malgun Gothic" w:eastAsia="맑은 고딕"/>
          <w:color w:val="6F8195"/>
          <w:sz w:val="16"/>
        </w:rPr>
        <w:t>관광데이터랩 · 한국관광 데이터랩 · 제주특별자치도 제주시 숙박방문자 비율 추이 (이동통신 기반 외지인)</w:t>
      </w:r>
    </w:p>
    <w:p>
      <w:pPr>
        <w:pStyle w:val="ListBullet"/>
        <w:spacing w:after="20"/>
        <w:ind w:left="216"/>
      </w:pPr>
      <w:r>
        <w:rPr>
          <w:rFonts w:ascii="Malgun Gothic" w:hAnsi="Malgun Gothic" w:eastAsia="맑은 고딕"/>
          <w:color w:val="6F8195"/>
          <w:sz w:val="16"/>
        </w:rPr>
        <w:t>관광데이터랩 · 한국관광 데이터랩 · 제주특별자치도 제주시 평균 숙박일 (이동통신 기반 외지인)</w:t>
      </w:r>
    </w:p>
    <w:sectPr w:rsidR="00FC693F" w:rsidRPr="0006063C" w:rsidSect="00034616">
      <w:footerReference w:type="default" r:id="rId9"/>
      <w:pgSz w:w="12240" w:h="15840"/>
      <w:pgMar w:top="1037" w:right="1080" w:bottom="950" w:left="108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맑은 고딕"/>
        <w:color w:val="6F8195"/>
        <w:sz w:val="16"/>
      </w:rPr>
      <w:t>TOUR INSIGHT | 원자료 기반 AI 전략기획서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Malgun Gothic" w:hAnsi="Malgun Gothic" w:eastAsia="맑은 고딕"/>
      <w:color w:val="3D526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