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293" w:lineRule="auto"/>
        <w:snapToGrid w:val="0"/>
      </w:pPr>
      <w:r>
        <w:rPr>
          <w:rFonts w:ascii="맑은 고딕" w:hAnsi="맑은 고딕" w:eastAsia="맑은 고딕"/>
          <w:b/>
          <w:color w:val="0054A6"/>
          <w:sz w:val="22"/>
        </w:rPr>
        <w:t>제주특별자치도 제주시</w:t>
      </w:r>
    </w:p>
    <w:p>
      <w:pPr>
        <w:pStyle w:val="Title"/>
        <w:spacing w:before="0" w:after="140" w:line="293" w:lineRule="auto"/>
        <w:snapToGrid w:val="0"/>
      </w:pPr>
      <w:r>
        <w:rPr>
          <w:rFonts w:ascii="맑은 고딕" w:hAnsi="맑은 고딕" w:eastAsia="맑은 고딕"/>
          <w:b/>
          <w:color w:val="000000"/>
          <w:sz w:val="50"/>
        </w:rPr>
        <w:t>제주시 외지인 관광 소비 촉진을 위한 지역 상품권 환급 프로그램</w:t>
      </w:r>
    </w:p>
    <w:p>
      <w:pPr>
        <w:spacing w:before="0" w:after="140" w:line="293" w:lineRule="auto"/>
        <w:snapToGrid w:val="0"/>
      </w:pPr>
      <w:r>
        <w:rPr>
          <w:rFonts w:ascii="맑은 고딕" w:hAnsi="맑은 고딕" w:eastAsia="맑은 고딕"/>
          <w:b w:val="0"/>
          <w:color w:val="536477"/>
          <w:sz w:val="26"/>
        </w:rPr>
        <w:t>관광 전략기획안</w:t>
      </w:r>
    </w:p>
    <w:p>
      <w:pPr>
        <w:spacing w:before="0" w:after="140" w:line="293" w:lineRule="auto"/>
        <w:snapToGrid w:val="0"/>
      </w:pPr>
      <w:r>
        <w:rPr>
          <w:rFonts w:ascii="맑은 고딕" w:hAnsi="맑은 고딕" w:eastAsia="맑은 고딕"/>
          <w:b/>
          <w:color w:val="263445"/>
          <w:sz w:val="20"/>
        </w:rPr>
        <w:t>사업기간  26.10 ~ 26.12</w:t>
      </w:r>
    </w:p>
    <w:p>
      <w:pPr>
        <w:pStyle w:val="Heading2"/>
        <w:spacing w:before="200" w:after="140" w:line="293" w:lineRule="auto"/>
        <w:snapToGrid w:val="0"/>
      </w:pPr>
      <w:r>
        <w:rPr>
          <w:rFonts w:ascii="맑은 고딕" w:hAnsi="맑은 고딕" w:eastAsia="맑은 고딕"/>
          <w:b/>
          <w:color w:val="000000"/>
          <w:sz w:val="24"/>
        </w:rPr>
        <w:t>핵심 제안</w:t>
      </w:r>
    </w:p>
    <w:p>
      <w:pPr>
        <w:spacing w:before="0" w:after="140" w:line="293" w:lineRule="auto"/>
        <w:snapToGrid w:val="0"/>
      </w:pPr>
      <w:r>
        <w:rPr>
          <w:rFonts w:ascii="맑은 고딕" w:hAnsi="맑은 고딕" w:eastAsia="맑은 고딕"/>
          <w:b w:val="0"/>
          <w:color w:val="263445"/>
          <w:sz w:val="20"/>
        </w:rPr>
        <w:t>제주시의 높은 내비게이션 검색량과 관광소비 잠재력을 활용하여, 외지인 관광객의 지역 내 지출을 유도하는 상품권 환급 프로그램을 제안합니다. 강진 반값여행의 환급 메커니즘을 참고하되, 제주시 상권 특성에 맞춰 특정 업종과 환급 한도를 제한한 시범 사업으로 설계합니다.</w:t>
      </w:r>
    </w:p>
    <w:p>
      <w:pPr>
        <w:pStyle w:val="Heading2"/>
        <w:spacing w:before="200" w:after="140" w:line="293" w:lineRule="auto"/>
        <w:snapToGrid w:val="0"/>
      </w:pPr>
      <w:r>
        <w:rPr>
          <w:rFonts w:ascii="맑은 고딕" w:hAnsi="맑은 고딕" w:eastAsia="맑은 고딕"/>
          <w:b/>
          <w:color w:val="000000"/>
          <w:sz w:val="24"/>
        </w:rPr>
        <w:t>사업의 목표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3402"/>
        <w:gridCol w:w="4082"/>
      </w:tblGrid>
      <w:tr>
        <w:trPr>
          <w:tblHeader/>
          <w:cantSplit/>
        </w:trPr>
        <w:tc>
          <w:tcPr>
            <w:tcW w:type="dxa" w:w="2154"/>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지표</w:t>
            </w:r>
          </w:p>
        </w:tc>
        <w:tc>
          <w:tcPr>
            <w:tcW w:type="dxa" w:w="3402"/>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3개월 목표 합계</w:t>
            </w:r>
          </w:p>
        </w:tc>
        <w:tc>
          <w:tcPr>
            <w:tcW w:type="dxa" w:w="4082"/>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기준 전망 대비 추가 규모</w:t>
            </w:r>
          </w:p>
        </w:tc>
      </w:tr>
      <w:tr>
        <w:trPr>
          <w:cantSplit/>
        </w:trPr>
        <w:tc>
          <w:tcPr>
            <w:tcW w:type="dxa" w:w="2154"/>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방문자 수</w:t>
            </w:r>
          </w:p>
        </w:tc>
        <w:tc>
          <w:tcPr>
            <w:tcW w:type="dxa" w:w="3402"/>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11,974,569명</w:t>
            </w:r>
          </w:p>
        </w:tc>
        <w:tc>
          <w:tcPr>
            <w:tcW w:type="dxa" w:w="4082"/>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 13.18% · +1,394,404명</w:t>
            </w:r>
          </w:p>
        </w:tc>
      </w:tr>
      <w:tr>
        <w:trPr>
          <w:cantSplit/>
        </w:trPr>
        <w:tc>
          <w:tcPr>
            <w:tcW w:type="dxa" w:w="2154"/>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관광소비액</w:t>
            </w:r>
          </w:p>
        </w:tc>
        <w:tc>
          <w:tcPr>
            <w:tcW w:type="dxa" w:w="3402"/>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5,041.68억 원</w:t>
            </w:r>
          </w:p>
        </w:tc>
        <w:tc>
          <w:tcPr>
            <w:tcW w:type="dxa" w:w="4082"/>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 13.32% · +592.49억 원</w:t>
            </w:r>
          </w:p>
        </w:tc>
      </w:tr>
    </w:tbl>
    <w:p>
      <w:pPr>
        <w:spacing w:before="0" w:after="40" w:line="293" w:lineRule="auto"/>
        <w:snapToGrid w:val="0"/>
      </w:pPr>
      <w:r>
        <w:rPr>
          <w:rFonts w:ascii="맑은 고딕" w:hAnsi="맑은 고딕" w:eastAsia="맑은 고딕"/>
          <w:b w:val="0"/>
          <w:color w:val="263445"/>
          <w:sz w:val="4"/>
        </w:rPr>
      </w:r>
    </w:p>
    <w:p>
      <w:pPr>
        <w:spacing w:before="0" w:after="140" w:line="293" w:lineRule="auto"/>
        <w:snapToGrid w:val="0"/>
      </w:pPr>
      <w:r>
        <w:rPr>
          <w:rFonts w:ascii="맑은 고딕" w:hAnsi="맑은 고딕" w:eastAsia="맑은 고딕"/>
          <w:b w:val="0"/>
          <w:color w:val="536477"/>
          <w:sz w:val="18"/>
        </w:rPr>
        <w:t>목표는 월별 ML 기준 전망에 계획 증가율을 적용한 값입니다. 방문 합계는 월간 순 방문 수의 합계이며, 3개월 동안 중복을 제거한 인원이 아닙니다.</w:t>
      </w:r>
    </w:p>
    <w:p>
      <w:pPr>
        <w:pStyle w:val="Heading2"/>
        <w:spacing w:before="200" w:after="140" w:line="293" w:lineRule="auto"/>
        <w:snapToGrid w:val="0"/>
      </w:pPr>
      <w:r>
        <w:rPr>
          <w:rFonts w:ascii="맑은 고딕" w:hAnsi="맑은 고딕" w:eastAsia="맑은 고딕"/>
          <w:b/>
          <w:color w:val="000000"/>
          <w:sz w:val="24"/>
        </w:rPr>
        <w:t>제안의 방향</w:t>
      </w:r>
    </w:p>
    <w:p>
      <w:pPr>
        <w:spacing w:before="0" w:after="140" w:line="293" w:lineRule="auto"/>
        <w:snapToGrid w:val="0"/>
      </w:pPr>
      <w:r>
        <w:rPr>
          <w:rFonts w:ascii="맑은 고딕" w:hAnsi="맑은 고딕" w:eastAsia="맑은 고딕"/>
          <w:b w:val="0"/>
          <w:color w:val="263445"/>
          <w:sz w:val="20"/>
        </w:rPr>
        <w:t>높은 관광 관심도(검색량) 대비 실제 지역 내 소비 전환 및 체류 유도 필요</w:t>
      </w:r>
    </w:p>
    <w:p>
      <w:pPr>
        <w:spacing w:before="0" w:after="140" w:line="293" w:lineRule="auto"/>
        <w:snapToGrid w:val="0"/>
      </w:pPr>
      <w:r>
        <w:rPr>
          <w:rFonts w:ascii="맑은 고딕" w:hAnsi="맑은 고딕" w:eastAsia="맑은 고딕"/>
          <w:b w:val="0"/>
          <w:color w:val="263445"/>
          <w:sz w:val="20"/>
        </w:rPr>
        <w:t>제주시 방문 외지인이 지정된 적격 업종에서 결제 시, 지출액의 일부를 제주시 지역 상품권으로 즉시 또는 사후 환급하여 지역 내 재사용을 유도함.</w:t>
      </w:r>
    </w:p>
    <w:p>
      <w:pPr>
        <w:pStyle w:val="Heading2"/>
        <w:spacing w:before="200" w:after="140" w:line="293" w:lineRule="auto"/>
        <w:snapToGrid w:val="0"/>
      </w:pPr>
      <w:r>
        <w:rPr>
          <w:rFonts w:ascii="맑은 고딕" w:hAnsi="맑은 고딕" w:eastAsia="맑은 고딕"/>
          <w:b/>
          <w:color w:val="000000"/>
          <w:sz w:val="24"/>
        </w:rPr>
        <w:t>문서 구성</w:t>
      </w:r>
    </w:p>
    <w:p>
      <w:pPr>
        <w:spacing w:before="0" w:after="140" w:line="293" w:lineRule="auto"/>
        <w:snapToGrid w:val="0"/>
      </w:pPr>
      <w:r>
        <w:rPr>
          <w:rFonts w:ascii="맑은 고딕" w:hAnsi="맑은 고딕" w:eastAsia="맑은 고딕"/>
          <w:b w:val="0"/>
          <w:color w:val="536477"/>
          <w:sz w:val="18"/>
        </w:rPr>
        <w:t>01 전망과 목표  ·  02 지역별 참고 사례  ·  03 지역 적용</w:t>
        <w:br/>
        <w:t>04 실행 가이드  ·  05 견적  ·  06 산출 근거  ·  07 데이터 활용  ·  출처</w:t>
      </w:r>
    </w:p>
    <w:p>
      <w:pPr>
        <w:pStyle w:val="Heading1"/>
        <w:spacing w:before="0" w:after="300" w:line="293" w:lineRule="auto"/>
        <w:pageBreakBefore/>
        <w:snapToGrid w:val="0"/>
      </w:pPr>
      <w:r>
        <w:rPr>
          <w:rFonts w:ascii="맑은 고딕" w:hAnsi="맑은 고딕" w:eastAsia="맑은 고딕"/>
          <w:b/>
          <w:color w:val="000000"/>
          <w:sz w:val="38"/>
        </w:rPr>
        <w:t>01  머신러닝 전망과 목표 KPI</w:t>
      </w:r>
    </w:p>
    <w:p>
      <w:pPr>
        <w:pStyle w:val="Heading2"/>
        <w:spacing w:before="200" w:after="140" w:line="293" w:lineRule="auto"/>
        <w:snapToGrid w:val="0"/>
      </w:pPr>
      <w:r>
        <w:rPr>
          <w:rFonts w:ascii="맑은 고딕" w:hAnsi="맑은 고딕" w:eastAsia="맑은 고딕"/>
          <w:b/>
          <w:color w:val="000000"/>
          <w:sz w:val="24"/>
        </w:rPr>
        <w:t>방문자 수</w:t>
      </w:r>
    </w:p>
    <w:p>
      <w:r>
        <w:drawing>
          <wp:inline xmlns:a="http://schemas.openxmlformats.org/drawingml/2006/main" xmlns:pic="http://schemas.openxmlformats.org/drawingml/2006/picture">
            <wp:extent cx="6120000" cy="2302456"/>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2302456"/>
                    </a:xfrm>
                    <a:prstGeom prst="rect"/>
                  </pic:spPr>
                </pic:pic>
              </a:graphicData>
            </a:graphic>
          </wp:inline>
        </w:drawing>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665"/>
        <w:gridCol w:w="2665"/>
        <w:gridCol w:w="2891"/>
      </w:tblGrid>
      <w:tr>
        <w:trPr>
          <w:tblHeader/>
          <w:cantSplit/>
        </w:trPr>
        <w:tc>
          <w:tcPr>
            <w:tcW w:type="dxa" w:w="1417"/>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기준월</w:t>
            </w:r>
          </w:p>
        </w:tc>
        <w:tc>
          <w:tcPr>
            <w:tcW w:type="dxa" w:w="2665"/>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ML 기준 전망</w:t>
            </w:r>
          </w:p>
        </w:tc>
        <w:tc>
          <w:tcPr>
            <w:tcW w:type="dxa" w:w="2665"/>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목표 KPI</w:t>
            </w:r>
          </w:p>
        </w:tc>
        <w:tc>
          <w:tcPr>
            <w:tcW w:type="dxa" w:w="2891"/>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기준 대비 증가</w:t>
            </w:r>
          </w:p>
        </w:tc>
      </w:tr>
      <w:tr>
        <w:trPr>
          <w:cantSplit/>
        </w:trPr>
        <w:tc>
          <w:tcPr>
            <w:tcW w:type="dxa" w:w="1417"/>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26.10</w:t>
            </w:r>
          </w:p>
        </w:tc>
        <w:tc>
          <w:tcPr>
            <w:tcW w:type="dxa" w:w="2665"/>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3,615,062명</w:t>
            </w:r>
          </w:p>
        </w:tc>
        <w:tc>
          <w:tcPr>
            <w:tcW w:type="dxa" w:w="2665"/>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3,856,066명</w:t>
            </w:r>
          </w:p>
        </w:tc>
        <w:tc>
          <w:tcPr>
            <w:tcW w:type="dxa" w:w="2891"/>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 6.67%</w:t>
              <w:br/>
              <w:t>+241,004명</w:t>
            </w:r>
          </w:p>
        </w:tc>
      </w:tr>
      <w:tr>
        <w:trPr>
          <w:cantSplit/>
        </w:trPr>
        <w:tc>
          <w:tcPr>
            <w:tcW w:type="dxa" w:w="1417"/>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26.11</w:t>
            </w:r>
          </w:p>
        </w:tc>
        <w:tc>
          <w:tcPr>
            <w:tcW w:type="dxa" w:w="2665"/>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3,594,310명</w:t>
            </w:r>
          </w:p>
        </w:tc>
        <w:tc>
          <w:tcPr>
            <w:tcW w:type="dxa" w:w="2665"/>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4,073,551명</w:t>
            </w:r>
          </w:p>
        </w:tc>
        <w:tc>
          <w:tcPr>
            <w:tcW w:type="dxa" w:w="2891"/>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 13.33%</w:t>
              <w:br/>
              <w:t>+479,241명</w:t>
            </w:r>
          </w:p>
        </w:tc>
      </w:tr>
      <w:tr>
        <w:trPr>
          <w:cantSplit/>
        </w:trPr>
        <w:tc>
          <w:tcPr>
            <w:tcW w:type="dxa" w:w="1417"/>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26.12</w:t>
            </w:r>
          </w:p>
        </w:tc>
        <w:tc>
          <w:tcPr>
            <w:tcW w:type="dxa" w:w="2665"/>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3,370,793명</w:t>
            </w:r>
          </w:p>
        </w:tc>
        <w:tc>
          <w:tcPr>
            <w:tcW w:type="dxa" w:w="2665"/>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4,044,952명</w:t>
            </w:r>
          </w:p>
        </w:tc>
        <w:tc>
          <w:tcPr>
            <w:tcW w:type="dxa" w:w="2891"/>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 20.00%</w:t>
              <w:br/>
              <w:t>+674,159명</w:t>
            </w:r>
          </w:p>
        </w:tc>
      </w:tr>
      <w:tr>
        <w:trPr>
          <w:cantSplit/>
        </w:trPr>
        <w:tc>
          <w:tcPr>
            <w:tcW w:type="dxa" w:w="1417"/>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월별 합계</w:t>
            </w:r>
          </w:p>
        </w:tc>
        <w:tc>
          <w:tcPr>
            <w:tcW w:type="dxa" w:w="2665"/>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10,580,165명</w:t>
            </w:r>
          </w:p>
        </w:tc>
        <w:tc>
          <w:tcPr>
            <w:tcW w:type="dxa" w:w="2665"/>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11,974,569명</w:t>
            </w:r>
          </w:p>
        </w:tc>
        <w:tc>
          <w:tcPr>
            <w:tcW w:type="dxa" w:w="2891"/>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 13.18%</w:t>
              <w:br/>
              <w:t>+1,394,404명</w:t>
            </w:r>
          </w:p>
        </w:tc>
      </w:tr>
    </w:tbl>
    <w:p>
      <w:pPr>
        <w:spacing w:before="0" w:after="40" w:line="293" w:lineRule="auto"/>
        <w:snapToGrid w:val="0"/>
      </w:pPr>
      <w:r>
        <w:rPr>
          <w:rFonts w:ascii="맑은 고딕" w:hAnsi="맑은 고딕" w:eastAsia="맑은 고딕"/>
          <w:b w:val="0"/>
          <w:color w:val="263445"/>
          <w:sz w:val="4"/>
        </w:rPr>
      </w:r>
    </w:p>
    <w:p>
      <w:pPr>
        <w:pStyle w:val="Heading2"/>
        <w:spacing w:before="200" w:after="140" w:line="293" w:lineRule="auto"/>
        <w:snapToGrid w:val="0"/>
      </w:pPr>
      <w:r>
        <w:rPr>
          <w:rFonts w:ascii="맑은 고딕" w:hAnsi="맑은 고딕" w:eastAsia="맑은 고딕"/>
          <w:b/>
          <w:color w:val="000000"/>
          <w:sz w:val="24"/>
        </w:rPr>
        <w:t>수치 해석과 계산 기준</w:t>
      </w:r>
    </w:p>
    <w:p>
      <w:pPr>
        <w:spacing w:before="0" w:after="140" w:line="293" w:lineRule="auto"/>
        <w:snapToGrid w:val="0"/>
      </w:pPr>
      <w:r>
        <w:rPr>
          <w:rFonts w:ascii="맑은 고딕" w:hAnsi="맑은 고딕" w:eastAsia="맑은 고딕"/>
          <w:b w:val="0"/>
          <w:color w:val="263445"/>
          <w:sz w:val="18"/>
        </w:rPr>
        <w:t>202401~202606 월별 데이터에서 1·3·12개월 전 값과 계절 정보를 구성합니다. 방문은 랜덤 포레스트, 소비는 선형 회귀로 산출합니다. 전년 동월 기준모델이 선택된 지표는 해당 월의 전년 값을 사용합니다. 최신 관측월 이후를 순차 계산한 뒤 사업기간의 3개월을 표시합니다.</w:t>
      </w:r>
    </w:p>
    <w:p>
      <w:pPr>
        <w:spacing w:before="0" w:after="140" w:line="293" w:lineRule="auto"/>
        <w:snapToGrid w:val="0"/>
      </w:pPr>
      <w:r>
        <w:rPr>
          <w:rFonts w:ascii="맑은 고딕" w:hAnsi="맑은 고딕" w:eastAsia="맑은 고딕"/>
          <w:b w:val="0"/>
          <w:color w:val="263445"/>
          <w:sz w:val="18"/>
        </w:rPr>
        <w:t>월별 목표 = 월별 기준 전망 × (1 + 최종월 목표율 × 경과월/전체월). 합계 증가율은 월별 목표 합계 ÷ 기준 전망 합계 − 1로 계산합니다.</w:t>
      </w:r>
    </w:p>
    <w:p>
      <w:pPr>
        <w:spacing w:before="0" w:after="140" w:line="293" w:lineRule="auto"/>
        <w:snapToGrid w:val="0"/>
      </w:pPr>
      <w:r>
        <w:rPr>
          <w:rFonts w:ascii="맑은 고딕" w:hAnsi="맑은 고딕" w:eastAsia="맑은 고딕"/>
          <w:b w:val="0"/>
          <w:color w:val="536477"/>
          <w:sz w:val="16"/>
        </w:rPr>
        <w:t>소비액 표시는 억 원 단위 소수 둘째 자리로 반올림합니다. 합계와 증가율은 반올림 전 값으로 계산합니다. 방문 합계는 3개월 고유 인원이 아닌 월간 순 방문 수의 합계입니다.</w:t>
      </w:r>
    </w:p>
    <w:p>
      <w:pPr>
        <w:pStyle w:val="Heading1"/>
        <w:spacing w:before="0" w:after="300" w:line="293" w:lineRule="auto"/>
        <w:pageBreakBefore/>
        <w:snapToGrid w:val="0"/>
      </w:pPr>
      <w:r>
        <w:rPr>
          <w:rFonts w:ascii="맑은 고딕" w:hAnsi="맑은 고딕" w:eastAsia="맑은 고딕"/>
          <w:b/>
          <w:color w:val="000000"/>
          <w:sz w:val="38"/>
        </w:rPr>
        <w:t>01  머신러닝 전망과 목표 KPI 계속</w:t>
      </w:r>
    </w:p>
    <w:p>
      <w:pPr>
        <w:pStyle w:val="Heading2"/>
        <w:spacing w:before="200" w:after="140" w:line="293" w:lineRule="auto"/>
        <w:snapToGrid w:val="0"/>
      </w:pPr>
      <w:r>
        <w:rPr>
          <w:rFonts w:ascii="맑은 고딕" w:hAnsi="맑은 고딕" w:eastAsia="맑은 고딕"/>
          <w:b/>
          <w:color w:val="000000"/>
          <w:sz w:val="24"/>
        </w:rPr>
        <w:t>관광소비액</w:t>
      </w:r>
    </w:p>
    <w:p>
      <w:r>
        <w:drawing>
          <wp:inline xmlns:a="http://schemas.openxmlformats.org/drawingml/2006/main" xmlns:pic="http://schemas.openxmlformats.org/drawingml/2006/picture">
            <wp:extent cx="6120000" cy="2302456"/>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0000" cy="2302456"/>
                    </a:xfrm>
                    <a:prstGeom prst="rect"/>
                  </pic:spPr>
                </pic:pic>
              </a:graphicData>
            </a:graphic>
          </wp:inline>
        </w:drawing>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2665"/>
        <w:gridCol w:w="2665"/>
        <w:gridCol w:w="2891"/>
      </w:tblGrid>
      <w:tr>
        <w:trPr>
          <w:tblHeader/>
          <w:cantSplit/>
        </w:trPr>
        <w:tc>
          <w:tcPr>
            <w:tcW w:type="dxa" w:w="1417"/>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기준월</w:t>
            </w:r>
          </w:p>
        </w:tc>
        <w:tc>
          <w:tcPr>
            <w:tcW w:type="dxa" w:w="2665"/>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ML 기준 전망</w:t>
            </w:r>
          </w:p>
        </w:tc>
        <w:tc>
          <w:tcPr>
            <w:tcW w:type="dxa" w:w="2665"/>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목표 KPI</w:t>
            </w:r>
          </w:p>
        </w:tc>
        <w:tc>
          <w:tcPr>
            <w:tcW w:type="dxa" w:w="2891"/>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기준 대비 증가</w:t>
            </w:r>
          </w:p>
        </w:tc>
      </w:tr>
      <w:tr>
        <w:trPr>
          <w:cantSplit/>
        </w:trPr>
        <w:tc>
          <w:tcPr>
            <w:tcW w:type="dxa" w:w="1417"/>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26.10</w:t>
            </w:r>
          </w:p>
        </w:tc>
        <w:tc>
          <w:tcPr>
            <w:tcW w:type="dxa" w:w="2665"/>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1,504.67억 원</w:t>
            </w:r>
          </w:p>
        </w:tc>
        <w:tc>
          <w:tcPr>
            <w:tcW w:type="dxa" w:w="2665"/>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1,604.98억 원</w:t>
            </w:r>
          </w:p>
        </w:tc>
        <w:tc>
          <w:tcPr>
            <w:tcW w:type="dxa" w:w="2891"/>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 6.67%</w:t>
              <w:br/>
              <w:t>+100.31억 원</w:t>
            </w:r>
          </w:p>
        </w:tc>
      </w:tr>
      <w:tr>
        <w:trPr>
          <w:cantSplit/>
        </w:trPr>
        <w:tc>
          <w:tcPr>
            <w:tcW w:type="dxa" w:w="1417"/>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26.11</w:t>
            </w:r>
          </w:p>
        </w:tc>
        <w:tc>
          <w:tcPr>
            <w:tcW w:type="dxa" w:w="2665"/>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1,450.85억 원</w:t>
            </w:r>
          </w:p>
        </w:tc>
        <w:tc>
          <w:tcPr>
            <w:tcW w:type="dxa" w:w="2665"/>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1,644.30억 원</w:t>
            </w:r>
          </w:p>
        </w:tc>
        <w:tc>
          <w:tcPr>
            <w:tcW w:type="dxa" w:w="2891"/>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 13.33%</w:t>
              <w:br/>
              <w:t>+193.45억 원</w:t>
            </w:r>
          </w:p>
        </w:tc>
      </w:tr>
      <w:tr>
        <w:trPr>
          <w:cantSplit/>
        </w:trPr>
        <w:tc>
          <w:tcPr>
            <w:tcW w:type="dxa" w:w="1417"/>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26.12</w:t>
            </w:r>
          </w:p>
        </w:tc>
        <w:tc>
          <w:tcPr>
            <w:tcW w:type="dxa" w:w="2665"/>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1,493.67억 원</w:t>
            </w:r>
          </w:p>
        </w:tc>
        <w:tc>
          <w:tcPr>
            <w:tcW w:type="dxa" w:w="2665"/>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1,792.40억 원</w:t>
            </w:r>
          </w:p>
        </w:tc>
        <w:tc>
          <w:tcPr>
            <w:tcW w:type="dxa" w:w="2891"/>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 20.00%</w:t>
              <w:br/>
              <w:t>+298.73억 원</w:t>
            </w:r>
          </w:p>
        </w:tc>
      </w:tr>
      <w:tr>
        <w:trPr>
          <w:cantSplit/>
        </w:trPr>
        <w:tc>
          <w:tcPr>
            <w:tcW w:type="dxa" w:w="1417"/>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월별 합계</w:t>
            </w:r>
          </w:p>
        </w:tc>
        <w:tc>
          <w:tcPr>
            <w:tcW w:type="dxa" w:w="2665"/>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4,449.19억 원</w:t>
            </w:r>
          </w:p>
        </w:tc>
        <w:tc>
          <w:tcPr>
            <w:tcW w:type="dxa" w:w="2665"/>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5,041.68억 원</w:t>
            </w:r>
          </w:p>
        </w:tc>
        <w:tc>
          <w:tcPr>
            <w:tcW w:type="dxa" w:w="2891"/>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 13.32%</w:t>
              <w:br/>
              <w:t>+592.49억 원</w:t>
            </w:r>
          </w:p>
        </w:tc>
      </w:tr>
    </w:tbl>
    <w:p>
      <w:pPr>
        <w:spacing w:before="0" w:after="40" w:line="293" w:lineRule="auto"/>
        <w:snapToGrid w:val="0"/>
      </w:pPr>
      <w:r>
        <w:rPr>
          <w:rFonts w:ascii="맑은 고딕" w:hAnsi="맑은 고딕" w:eastAsia="맑은 고딕"/>
          <w:b w:val="0"/>
          <w:color w:val="263445"/>
          <w:sz w:val="4"/>
        </w:rPr>
      </w:r>
    </w:p>
    <w:p>
      <w:pPr>
        <w:pStyle w:val="Heading2"/>
        <w:spacing w:before="200" w:after="140" w:line="293" w:lineRule="auto"/>
        <w:snapToGrid w:val="0"/>
      </w:pPr>
      <w:r>
        <w:rPr>
          <w:rFonts w:ascii="맑은 고딕" w:hAnsi="맑은 고딕" w:eastAsia="맑은 고딕"/>
          <w:b/>
          <w:color w:val="000000"/>
          <w:sz w:val="24"/>
        </w:rPr>
        <w:t>수치 해석과 계산 기준</w:t>
      </w:r>
    </w:p>
    <w:p>
      <w:pPr>
        <w:spacing w:before="0" w:after="140" w:line="293" w:lineRule="auto"/>
        <w:snapToGrid w:val="0"/>
      </w:pPr>
      <w:r>
        <w:rPr>
          <w:rFonts w:ascii="맑은 고딕" w:hAnsi="맑은 고딕" w:eastAsia="맑은 고딕"/>
          <w:b w:val="0"/>
          <w:color w:val="263445"/>
          <w:sz w:val="18"/>
        </w:rPr>
        <w:t>202401~202606 월별 데이터에서 1·3·12개월 전 값과 계절 정보를 구성합니다. 방문은 랜덤 포레스트, 소비는 선형 회귀로 산출합니다. 전년 동월 기준모델이 선택된 지표는 해당 월의 전년 값을 사용합니다. 최신 관측월 이후를 순차 계산한 뒤 사업기간의 3개월을 표시합니다.</w:t>
      </w:r>
    </w:p>
    <w:p>
      <w:pPr>
        <w:spacing w:before="0" w:after="140" w:line="293" w:lineRule="auto"/>
        <w:snapToGrid w:val="0"/>
      </w:pPr>
      <w:r>
        <w:rPr>
          <w:rFonts w:ascii="맑은 고딕" w:hAnsi="맑은 고딕" w:eastAsia="맑은 고딕"/>
          <w:b w:val="0"/>
          <w:color w:val="263445"/>
          <w:sz w:val="18"/>
        </w:rPr>
        <w:t>월별 목표 = 월별 기준 전망 × (1 + 최종월 목표율 × 경과월/전체월). 합계 증가율은 월별 목표 합계 ÷ 기준 전망 합계 − 1로 계산합니다.</w:t>
      </w:r>
    </w:p>
    <w:p>
      <w:pPr>
        <w:spacing w:before="0" w:after="140" w:line="293" w:lineRule="auto"/>
        <w:snapToGrid w:val="0"/>
      </w:pPr>
      <w:r>
        <w:rPr>
          <w:rFonts w:ascii="맑은 고딕" w:hAnsi="맑은 고딕" w:eastAsia="맑은 고딕"/>
          <w:b w:val="0"/>
          <w:color w:val="536477"/>
          <w:sz w:val="16"/>
        </w:rPr>
        <w:t>소비액 표시는 억 원 단위 소수 둘째 자리로 반올림합니다. 합계와 증가율은 반올림 전 값으로 계산합니다. 방문 합계는 3개월 고유 인원이 아닌 월간 순 방문 수의 합계입니다.</w:t>
      </w:r>
    </w:p>
    <w:p>
      <w:pPr>
        <w:pStyle w:val="Heading1"/>
        <w:spacing w:before="0" w:after="300" w:line="293" w:lineRule="auto"/>
        <w:pageBreakBefore/>
        <w:snapToGrid w:val="0"/>
      </w:pPr>
      <w:r>
        <w:rPr>
          <w:rFonts w:ascii="맑은 고딕" w:hAnsi="맑은 고딕" w:eastAsia="맑은 고딕"/>
          <w:b/>
          <w:color w:val="000000"/>
          <w:sz w:val="38"/>
        </w:rPr>
        <w:t>02  지역별 참고 사례</w:t>
      </w:r>
    </w:p>
    <w:p>
      <w:pPr>
        <w:spacing w:before="0" w:after="140" w:line="293" w:lineRule="auto"/>
        <w:snapToGrid w:val="0"/>
      </w:pPr>
      <w:r>
        <w:rPr>
          <w:rFonts w:ascii="맑은 고딕" w:hAnsi="맑은 고딕" w:eastAsia="맑은 고딕"/>
          <w:b w:val="0"/>
          <w:color w:val="536477"/>
          <w:sz w:val="18"/>
        </w:rPr>
        <w:t>공식 문서에서 사업의 실제 운영 방식이 연결되는 사례를 참고합니다. 아래 구분은 선정 사업의 근거와 추가 참고 사례의 역할을 나타냅니다.</w:t>
      </w:r>
    </w:p>
    <w:p>
      <w:pPr>
        <w:pStyle w:val="Heading2"/>
        <w:spacing w:before="200" w:after="140" w:line="293" w:lineRule="auto"/>
        <w:keepNext/>
        <w:snapToGrid w:val="0"/>
      </w:pPr>
      <w:r>
        <w:rPr>
          <w:rFonts w:ascii="맑은 고딕" w:hAnsi="맑은 고딕" w:eastAsia="맑은 고딕"/>
          <w:b/>
          <w:color w:val="000000"/>
          <w:sz w:val="24"/>
        </w:rPr>
        <w:t>01  전라남도 강진군  강진 반값여행—지역지출 환급과 지역상품권 재소비</w:t>
      </w:r>
    </w:p>
    <w:p>
      <w:pPr>
        <w:spacing w:before="0" w:after="140" w:line="293" w:lineRule="auto"/>
        <w:keepNext/>
        <w:snapToGrid w:val="0"/>
      </w:pPr>
      <w:r>
        <w:rPr>
          <w:rFonts w:ascii="맑은 고딕" w:hAnsi="맑은 고딕" w:eastAsia="맑은 고딕"/>
          <w:b/>
          <w:color w:val="0054A6"/>
          <w:sz w:val="18"/>
        </w:rPr>
        <w:t>핵심 운영 참고</w:t>
      </w:r>
    </w:p>
    <w:p>
      <w:pPr>
        <w:spacing w:before="0" w:after="140" w:line="293" w:lineRule="auto"/>
        <w:keepNext/>
        <w:snapToGrid w:val="0"/>
      </w:pPr>
      <w:r>
        <w:rPr>
          <w:rFonts w:ascii="맑은 고딕" w:hAnsi="맑은 고딕" w:eastAsia="맑은 고딕"/>
          <w:b w:val="0"/>
          <w:color w:val="263445"/>
          <w:sz w:val="18"/>
        </w:rPr>
        <w:t>지역에서 발생한 여행 지출의 일부를 모바일 지역상품권으로 환급하고, 전통시장·숙박·외식·소매 및 온라인 농특산물 판매와 연계했다. 월별 방문·소비 데이터를 이용해 3~5월과 10월에 홍보를 집중하고 영수증·상품권 정산 자료로 이용과 재소비를 추적했다.</w:t>
      </w:r>
    </w:p>
    <w:p>
      <w:pPr>
        <w:keepNext/>
      </w:pPr>
      <w:r>
        <w:drawing>
          <wp:inline xmlns:a="http://schemas.openxmlformats.org/drawingml/2006/main" xmlns:pic="http://schemas.openxmlformats.org/drawingml/2006/picture">
            <wp:extent cx="1685630" cy="900000"/>
            <wp:docPr id="3" name="Picture 3"/>
            <wp:cNvGraphicFramePr>
              <a:graphicFrameLocks noChangeAspect="1"/>
            </wp:cNvGraphicFramePr>
            <a:graphic>
              <a:graphicData uri="http://schemas.openxmlformats.org/drawingml/2006/picture">
                <pic:pic>
                  <pic:nvPicPr>
                    <pic:cNvPr id="0" name="gangjin_official.jpg"/>
                    <pic:cNvPicPr/>
                  </pic:nvPicPr>
                  <pic:blipFill>
                    <a:blip r:embed="rId13"/>
                    <a:stretch>
                      <a:fillRect/>
                    </a:stretch>
                  </pic:blipFill>
                  <pic:spPr>
                    <a:xfrm>
                      <a:off x="0" y="0"/>
                      <a:ext cx="1685630" cy="900000"/>
                    </a:xfrm>
                    <a:prstGeom prst="rect"/>
                  </pic:spPr>
                </pic:pic>
              </a:graphicData>
            </a:graphic>
          </wp:inline>
        </w:drawing>
      </w:r>
    </w:p>
    <w:p>
      <w:pPr>
        <w:spacing w:before="0" w:after="140" w:line="293" w:lineRule="auto"/>
        <w:keepNext/>
        <w:snapToGrid w:val="0"/>
      </w:pPr>
      <w:r>
        <w:rPr>
          <w:rFonts w:ascii="맑은 고딕" w:hAnsi="맑은 고딕" w:eastAsia="맑은 고딕"/>
          <w:b w:val="0"/>
          <w:color w:val="536477"/>
          <w:sz w:val="16"/>
        </w:rPr>
        <w:t>유사 사업 참고 · 강진군 · 반값여행 공식 홍보물 · 강진 반값여행 공식 홈페이지</w:t>
      </w:r>
    </w:p>
    <w:p>
      <w:pPr>
        <w:spacing w:before="0" w:after="140" w:line="293" w:lineRule="auto"/>
        <w:keepNext/>
        <w:snapToGrid w:val="0"/>
      </w:pPr>
      <w:r>
        <w:rPr>
          <w:rFonts w:ascii="맑은 고딕" w:hAnsi="맑은 고딕" w:eastAsia="맑은 고딕"/>
          <w:b w:val="0"/>
          <w:color w:val="536477"/>
          <w:sz w:val="14"/>
        </w:rPr>
        <w:t>https://www.gangjintour.com/</w:t>
      </w:r>
    </w:p>
    <w:p>
      <w:pPr>
        <w:spacing w:before="0" w:after="140" w:line="293" w:lineRule="auto"/>
        <w:snapToGrid w:val="0"/>
      </w:pPr>
      <w:r>
        <w:rPr>
          <w:rFonts w:ascii="맑은 고딕" w:hAnsi="맑은 고딕" w:eastAsia="맑은 고딕"/>
          <w:b w:val="0"/>
          <w:color w:val="536477"/>
          <w:sz w:val="14"/>
        </w:rPr>
        <w:t>사업 원문  https://datalab.visitkorea.or.kr/html/interview5/interview01.jsp</w:t>
      </w:r>
    </w:p>
    <w:p>
      <w:pPr>
        <w:pStyle w:val="Heading2"/>
        <w:spacing w:before="200" w:after="140" w:line="293" w:lineRule="auto"/>
        <w:keepNext/>
        <w:snapToGrid w:val="0"/>
      </w:pPr>
      <w:r>
        <w:rPr>
          <w:rFonts w:ascii="맑은 고딕" w:hAnsi="맑은 고딕" w:eastAsia="맑은 고딕"/>
          <w:b/>
          <w:color w:val="000000"/>
          <w:sz w:val="24"/>
        </w:rPr>
        <w:t>02  서울특별시 영등포구 여의도  서울달—예약채널 확대와 야간 운영시간 연장</w:t>
      </w:r>
    </w:p>
    <w:p>
      <w:pPr>
        <w:spacing w:before="0" w:after="140" w:line="293" w:lineRule="auto"/>
        <w:keepNext/>
        <w:snapToGrid w:val="0"/>
      </w:pPr>
      <w:r>
        <w:rPr>
          <w:rFonts w:ascii="맑은 고딕" w:hAnsi="맑은 고딕" w:eastAsia="맑은 고딕"/>
          <w:b/>
          <w:color w:val="0054A6"/>
          <w:sz w:val="18"/>
        </w:rPr>
        <w:t>후보 비교에 사용한 사례</w:t>
      </w:r>
    </w:p>
    <w:p>
      <w:pPr>
        <w:spacing w:before="0" w:after="140" w:line="293" w:lineRule="auto"/>
        <w:keepNext/>
        <w:snapToGrid w:val="0"/>
      </w:pPr>
      <w:r>
        <w:rPr>
          <w:rFonts w:ascii="맑은 고딕" w:hAnsi="맑은 고딕" w:eastAsia="맑은 고딕"/>
          <w:b w:val="0"/>
          <w:color w:val="263445"/>
          <w:sz w:val="18"/>
        </w:rPr>
        <w:t>기존 도심 경관을 유료 탑승 체험으로 상품화하고 시범운영 후 정식 운영했다. 이후 예약시간·정원을 확대하고 국내 예약채널을 일원화했으며 글로벌 OTA 판매처를 7개에서 10개로 늘렸다. 8~10월 금·토 운영 종료 시간을 22시에서 23시로 연장했다.</w:t>
      </w:r>
    </w:p>
    <w:p>
      <w:pPr>
        <w:keepNext/>
      </w:pPr>
      <w:r>
        <w:drawing>
          <wp:inline xmlns:a="http://schemas.openxmlformats.org/drawingml/2006/main" xmlns:pic="http://schemas.openxmlformats.org/drawingml/2006/picture">
            <wp:extent cx="1726618" cy="900000"/>
            <wp:docPr id="4" name="Picture 4"/>
            <wp:cNvGraphicFramePr>
              <a:graphicFrameLocks noChangeAspect="1"/>
            </wp:cNvGraphicFramePr>
            <a:graphic>
              <a:graphicData uri="http://schemas.openxmlformats.org/drawingml/2006/picture">
                <pic:pic>
                  <pic:nvPicPr>
                    <pic:cNvPr id="0" name="yeosu_night.jpg"/>
                    <pic:cNvPicPr/>
                  </pic:nvPicPr>
                  <pic:blipFill>
                    <a:blip r:embed="rId14"/>
                    <a:stretch>
                      <a:fillRect/>
                    </a:stretch>
                  </pic:blipFill>
                  <pic:spPr>
                    <a:xfrm>
                      <a:off x="0" y="0"/>
                      <a:ext cx="1726618" cy="900000"/>
                    </a:xfrm>
                    <a:prstGeom prst="rect"/>
                  </pic:spPr>
                </pic:pic>
              </a:graphicData>
            </a:graphic>
          </wp:inline>
        </w:drawing>
      </w:r>
    </w:p>
    <w:p>
      <w:pPr>
        <w:spacing w:before="0" w:after="140" w:line="293" w:lineRule="auto"/>
        <w:keepNext/>
        <w:snapToGrid w:val="0"/>
      </w:pPr>
      <w:r>
        <w:rPr>
          <w:rFonts w:ascii="맑은 고딕" w:hAnsi="맑은 고딕" w:eastAsia="맑은 고딕"/>
          <w:b w:val="0"/>
          <w:color w:val="536477"/>
          <w:sz w:val="16"/>
        </w:rPr>
        <w:t>유사 사업 참고 · 전남 여수시 야경 · 문화체육관광부 코리아넷 (2024)</w:t>
      </w:r>
    </w:p>
    <w:p>
      <w:pPr>
        <w:spacing w:before="0" w:after="140" w:line="293" w:lineRule="auto"/>
        <w:keepNext/>
        <w:snapToGrid w:val="0"/>
      </w:pPr>
      <w:r>
        <w:rPr>
          <w:rFonts w:ascii="맑은 고딕" w:hAnsi="맑은 고딕" w:eastAsia="맑은 고딕"/>
          <w:b w:val="0"/>
          <w:color w:val="536477"/>
          <w:sz w:val="14"/>
        </w:rPr>
        <w:t>https://www.korean-culture.org/koreanet/view.do?seq=1047457</w:t>
      </w:r>
    </w:p>
    <w:p>
      <w:pPr>
        <w:spacing w:before="0" w:after="140" w:line="293" w:lineRule="auto"/>
        <w:snapToGrid w:val="0"/>
      </w:pPr>
      <w:r>
        <w:rPr>
          <w:rFonts w:ascii="맑은 고딕" w:hAnsi="맑은 고딕" w:eastAsia="맑은 고딕"/>
          <w:b w:val="0"/>
          <w:color w:val="536477"/>
          <w:sz w:val="14"/>
        </w:rPr>
        <w:t>사업 원문  https://www.seoul.go.kr/policy/view.do?id=1022&amp;lan=</w:t>
      </w:r>
    </w:p>
    <w:p>
      <w:pPr>
        <w:pStyle w:val="Heading2"/>
        <w:spacing w:before="200" w:after="140" w:line="293" w:lineRule="auto"/>
        <w:keepNext/>
        <w:snapToGrid w:val="0"/>
      </w:pPr>
      <w:r>
        <w:rPr>
          <w:rFonts w:ascii="맑은 고딕" w:hAnsi="맑은 고딕" w:eastAsia="맑은 고딕"/>
          <w:b/>
          <w:color w:val="000000"/>
          <w:sz w:val="24"/>
        </w:rPr>
        <w:t>03  서울 출발 지방 관광지 연계 노선  고토치 셔틀—외국인 대상 예약·결제형 지역관광 버스</w:t>
      </w:r>
    </w:p>
    <w:p>
      <w:pPr>
        <w:spacing w:before="0" w:after="140" w:line="293" w:lineRule="auto"/>
        <w:keepNext/>
        <w:snapToGrid w:val="0"/>
      </w:pPr>
      <w:r>
        <w:rPr>
          <w:rFonts w:ascii="맑은 고딕" w:hAnsi="맑은 고딕" w:eastAsia="맑은 고딕"/>
          <w:b/>
          <w:color w:val="0054A6"/>
          <w:sz w:val="18"/>
        </w:rPr>
        <w:t>추가 운영 참고</w:t>
      </w:r>
    </w:p>
    <w:p>
      <w:pPr>
        <w:spacing w:before="0" w:after="140" w:line="293" w:lineRule="auto"/>
        <w:keepNext/>
        <w:snapToGrid w:val="0"/>
      </w:pPr>
      <w:r>
        <w:rPr>
          <w:rFonts w:ascii="맑은 고딕" w:hAnsi="맑은 고딕" w:eastAsia="맑은 고딕"/>
          <w:b w:val="0"/>
          <w:color w:val="263445"/>
          <w:sz w:val="18"/>
        </w:rPr>
        <w:t>서울과 지방 관광지를 연결하는 일일 버스여행 코스를 만들고 전용 홈페이지와 외국인 개별여행 예약 플랫폼에서 예약·결제를 받았다. 잔여 좌석은 출발지 현장에서도 판매해 정보 탐색부터 좌석 예약, 이동, 관광지 이용을 하나의 상품으로 묶었다.</w:t>
      </w:r>
    </w:p>
    <w:p>
      <w:pPr>
        <w:keepNext/>
      </w:pPr>
      <w:r>
        <w:drawing>
          <wp:inline xmlns:a="http://schemas.openxmlformats.org/drawingml/2006/main" xmlns:pic="http://schemas.openxmlformats.org/drawingml/2006/picture">
            <wp:extent cx="1601637" cy="900000"/>
            <wp:docPr id="5" name="Picture 5"/>
            <wp:cNvGraphicFramePr>
              <a:graphicFrameLocks noChangeAspect="1"/>
            </wp:cNvGraphicFramePr>
            <a:graphic>
              <a:graphicData uri="http://schemas.openxmlformats.org/drawingml/2006/picture">
                <pic:pic>
                  <pic:nvPicPr>
                    <pic:cNvPr id="0" name="incheon_official.jpg"/>
                    <pic:cNvPicPr/>
                  </pic:nvPicPr>
                  <pic:blipFill>
                    <a:blip r:embed="rId15"/>
                    <a:stretch>
                      <a:fillRect/>
                    </a:stretch>
                  </pic:blipFill>
                  <pic:spPr>
                    <a:xfrm>
                      <a:off x="0" y="0"/>
                      <a:ext cx="1601637" cy="900000"/>
                    </a:xfrm>
                    <a:prstGeom prst="rect"/>
                  </pic:spPr>
                </pic:pic>
              </a:graphicData>
            </a:graphic>
          </wp:inline>
        </w:drawing>
      </w:r>
    </w:p>
    <w:p>
      <w:pPr>
        <w:spacing w:before="0" w:after="140" w:line="293" w:lineRule="auto"/>
        <w:keepNext/>
        <w:snapToGrid w:val="0"/>
      </w:pPr>
      <w:r>
        <w:rPr>
          <w:rFonts w:ascii="맑은 고딕" w:hAnsi="맑은 고딕" w:eastAsia="맑은 고딕"/>
          <w:b w:val="0"/>
          <w:color w:val="536477"/>
          <w:sz w:val="16"/>
        </w:rPr>
        <w:t>유사 사업 참고 · 인천 섬 · 로컬체험 여행 소개 사진 · 인천광역시 섬포털</w:t>
      </w:r>
    </w:p>
    <w:p>
      <w:pPr>
        <w:spacing w:before="0" w:after="140" w:line="293" w:lineRule="auto"/>
        <w:keepNext/>
        <w:snapToGrid w:val="0"/>
      </w:pPr>
      <w:r>
        <w:rPr>
          <w:rFonts w:ascii="맑은 고딕" w:hAnsi="맑은 고딕" w:eastAsia="맑은 고딕"/>
          <w:b w:val="0"/>
          <w:color w:val="536477"/>
          <w:sz w:val="14"/>
        </w:rPr>
        <w:t>https://isum.incheon.go.kr/theme/themeContent.do?key=2407020018</w:t>
      </w:r>
    </w:p>
    <w:p>
      <w:pPr>
        <w:spacing w:before="0" w:after="140" w:line="293" w:lineRule="auto"/>
        <w:snapToGrid w:val="0"/>
      </w:pPr>
      <w:r>
        <w:rPr>
          <w:rFonts w:ascii="맑은 고딕" w:hAnsi="맑은 고딕" w:eastAsia="맑은 고딕"/>
          <w:b w:val="0"/>
          <w:color w:val="536477"/>
          <w:sz w:val="14"/>
        </w:rPr>
        <w:t>사업 원문  https://kto.visitkorea.or.kr/upload/flexer/upload/ktobiz/20190417/ca99de85-60a6-11e9-9d6f-39c7f0d61b75.hwp.files/Sections1.html</w:t>
      </w:r>
    </w:p>
    <w:p>
      <w:pPr>
        <w:pStyle w:val="Heading1"/>
        <w:spacing w:before="0" w:after="300" w:line="293" w:lineRule="auto"/>
        <w:pageBreakBefore/>
        <w:snapToGrid w:val="0"/>
      </w:pPr>
      <w:r>
        <w:rPr>
          <w:rFonts w:ascii="맑은 고딕" w:hAnsi="맑은 고딕" w:eastAsia="맑은 고딕"/>
          <w:b/>
          <w:color w:val="000000"/>
          <w:sz w:val="38"/>
        </w:rPr>
        <w:t>03  사례 선정과 지역 적용</w:t>
      </w:r>
    </w:p>
    <w:p>
      <w:pPr>
        <w:pStyle w:val="Heading2"/>
        <w:spacing w:before="200" w:after="140" w:line="293" w:lineRule="auto"/>
        <w:snapToGrid w:val="0"/>
      </w:pPr>
      <w:r>
        <w:rPr>
          <w:rFonts w:ascii="맑은 고딕" w:hAnsi="맑은 고딕" w:eastAsia="맑은 고딕"/>
          <w:b/>
          <w:color w:val="000000"/>
          <w:sz w:val="24"/>
        </w:rPr>
        <w:t>사업의 이용 흐름</w:t>
      </w:r>
    </w:p>
    <w:p>
      <w:pPr>
        <w:spacing w:before="0" w:after="140" w:line="293" w:lineRule="auto"/>
        <w:snapToGrid w:val="0"/>
      </w:pPr>
      <w:r>
        <w:rPr>
          <w:rFonts w:ascii="맑은 고딕" w:hAnsi="맑은 고딕" w:eastAsia="맑은 고딕"/>
          <w:b w:val="0"/>
          <w:color w:val="263445"/>
          <w:sz w:val="20"/>
        </w:rPr>
        <w:t>지역에서 발생한 여행 지출의 일부를 모바일 지역상품권으로 환급하고, 전통시장·숙박·외식·소매 및 온라인 농특산물 판매와 연계했다. 월별 방문·소비 데이터를 이용해 3~5월과 10월에 홍보를 집중하고 영수증·상품권 정산 자료로 이용과 재소비를 추적했다.</w:t>
      </w:r>
    </w:p>
    <w:p>
      <w:pPr>
        <w:spacing w:before="0" w:after="140" w:line="293" w:lineRule="auto"/>
        <w:snapToGrid w:val="0"/>
      </w:pPr>
      <w:r>
        <w:rPr>
          <w:rFonts w:ascii="맑은 고딕" w:hAnsi="맑은 고딕" w:eastAsia="맑은 고딕"/>
          <w:b w:val="0"/>
          <w:color w:val="536477"/>
          <w:sz w:val="18"/>
        </w:rPr>
        <w:t>결제·혜택·재이용 또는 예약·체류 등 실제 이용 흐름이 같은 사례를 연결합니다.</w:t>
      </w:r>
    </w:p>
    <w:p>
      <w:pPr>
        <w:pStyle w:val="Heading2"/>
        <w:spacing w:before="200" w:after="140" w:line="293" w:lineRule="auto"/>
        <w:snapToGrid w:val="0"/>
      </w:pPr>
      <w:r>
        <w:rPr>
          <w:rFonts w:ascii="맑은 고딕" w:hAnsi="맑은 고딕" w:eastAsia="맑은 고딕"/>
          <w:b/>
          <w:color w:val="000000"/>
          <w:sz w:val="24"/>
        </w:rPr>
        <w:t>선택 지역의 소비와 체류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5669"/>
      </w:tblGrid>
      <w:tr>
        <w:trPr>
          <w:tblHeader/>
          <w:cantSplit/>
        </w:trPr>
        <w:tc>
          <w:tcPr>
            <w:tcW w:type="dxa" w:w="3969"/>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관측 지표</w:t>
            </w:r>
          </w:p>
        </w:tc>
        <w:tc>
          <w:tcPr>
            <w:tcW w:type="dxa" w:w="5669"/>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확인한 값</w:t>
            </w:r>
          </w:p>
        </w:tc>
      </w:tr>
      <w:tr>
        <w:trPr>
          <w:cantSplit/>
        </w:trPr>
        <w:tc>
          <w:tcPr>
            <w:tcW w:type="dxa" w:w="3969"/>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월간 순 방문자 수</w:t>
            </w:r>
          </w:p>
        </w:tc>
        <w:tc>
          <w:tcPr>
            <w:tcW w:type="dxa" w:w="5669"/>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3,131,476명</w:t>
            </w:r>
          </w:p>
        </w:tc>
      </w:tr>
      <w:tr>
        <w:trPr>
          <w:cantSplit/>
        </w:trPr>
        <w:tc>
          <w:tcPr>
            <w:tcW w:type="dxa" w:w="3969"/>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관광소비 구성</w:t>
            </w:r>
          </w:p>
        </w:tc>
        <w:tc>
          <w:tcPr>
            <w:tcW w:type="dxa" w:w="5669"/>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쇼핑업 39.0%, 식음료업 38.1%</w:t>
            </w:r>
          </w:p>
        </w:tc>
      </w:tr>
      <w:tr>
        <w:trPr>
          <w:cantSplit/>
        </w:trPr>
        <w:tc>
          <w:tcPr>
            <w:tcW w:type="dxa" w:w="3969"/>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내비게이션 목적지 검색량</w:t>
            </w:r>
          </w:p>
        </w:tc>
        <w:tc>
          <w:tcPr>
            <w:tcW w:type="dxa" w:w="5669"/>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580,380건</w:t>
            </w:r>
          </w:p>
        </w:tc>
      </w:tr>
    </w:tbl>
    <w:p>
      <w:pPr>
        <w:spacing w:before="0" w:after="40" w:line="293" w:lineRule="auto"/>
        <w:snapToGrid w:val="0"/>
      </w:pPr>
      <w:r>
        <w:rPr>
          <w:rFonts w:ascii="맑은 고딕" w:hAnsi="맑은 고딕" w:eastAsia="맑은 고딕"/>
          <w:b w:val="0"/>
          <w:color w:val="263445"/>
          <w:sz w:val="4"/>
        </w:rPr>
      </w:r>
    </w:p>
    <w:p>
      <w:pPr>
        <w:spacing w:before="0" w:after="140" w:line="293" w:lineRule="auto"/>
        <w:snapToGrid w:val="0"/>
      </w:pPr>
      <w:r>
        <w:rPr>
          <w:rFonts w:ascii="맑은 고딕" w:hAnsi="맑은 고딕" w:eastAsia="맑은 고딕"/>
          <w:b w:val="0"/>
          <w:color w:val="263445"/>
          <w:sz w:val="20"/>
        </w:rPr>
        <w:t>지역 소비·체류 지표를 보고 참여 업종과 이용 대상을 정합니다.</w:t>
      </w:r>
    </w:p>
    <w:p>
      <w:pPr>
        <w:pStyle w:val="Heading2"/>
        <w:spacing w:before="200" w:after="140" w:line="293" w:lineRule="auto"/>
        <w:snapToGrid w:val="0"/>
      </w:pPr>
      <w:r>
        <w:rPr>
          <w:rFonts w:ascii="맑은 고딕" w:hAnsi="맑은 고딕" w:eastAsia="맑은 고딕"/>
          <w:b/>
          <w:color w:val="000000"/>
          <w:sz w:val="24"/>
        </w:rPr>
        <w:t>운영 규모</w:t>
      </w:r>
    </w:p>
    <w:p>
      <w:pPr>
        <w:spacing w:before="0" w:after="140" w:line="293" w:lineRule="auto"/>
        <w:snapToGrid w:val="0"/>
      </w:pPr>
      <w:r>
        <w:rPr>
          <w:rFonts w:ascii="맑은 고딕" w:hAnsi="맑은 고딕" w:eastAsia="맑은 고딕"/>
          <w:b w:val="0"/>
          <w:color w:val="263445"/>
          <w:sz w:val="20"/>
        </w:rPr>
        <w:t>사업기간 추가 방문 목표 1,394,404명 × 시범 담당 비중 1% → 13,945건(올림). 1%는 직접 운영할 참여량 배분 가정이며 전환율 예측이 아닙니다.</w:t>
      </w:r>
    </w:p>
    <w:p>
      <w:pPr>
        <w:pStyle w:val="Heading2"/>
        <w:spacing w:before="200" w:after="140" w:line="293" w:lineRule="auto"/>
        <w:snapToGrid w:val="0"/>
      </w:pPr>
      <w:r>
        <w:rPr>
          <w:rFonts w:ascii="맑은 고딕" w:hAnsi="맑은 고딕" w:eastAsia="맑은 고딕"/>
          <w:b/>
          <w:color w:val="000000"/>
          <w:sz w:val="24"/>
        </w:rPr>
        <w:t>사례에서 우리 지역의 제안으로</w:t>
      </w:r>
    </w:p>
    <w:p>
      <w:pPr>
        <w:spacing w:before="0" w:after="140" w:line="293" w:lineRule="auto"/>
        <w:snapToGrid w:val="0"/>
      </w:pPr>
      <w:r>
        <w:rPr>
          <w:rFonts w:ascii="맑은 고딕" w:hAnsi="맑은 고딕" w:eastAsia="맑은 고딕"/>
          <w:b w:val="0"/>
          <w:color w:val="263445"/>
          <w:sz w:val="20"/>
        </w:rPr>
        <w:t>제주시 방문 외지인이 지정된 적격 업종에서 결제 시, 지출액의 일부를 제주시 지역 상품권으로 즉시 또는 사후 환급하여 지역 내 재사용을 유도함.</w:t>
      </w:r>
    </w:p>
    <w:p>
      <w:pPr>
        <w:pStyle w:val="Heading2"/>
        <w:spacing w:before="200" w:after="140" w:line="293" w:lineRule="auto"/>
        <w:snapToGrid w:val="0"/>
      </w:pPr>
      <w:r>
        <w:rPr>
          <w:rFonts w:ascii="맑은 고딕" w:hAnsi="맑은 고딕" w:eastAsia="맑은 고딕"/>
          <w:b/>
          <w:color w:val="000000"/>
          <w:sz w:val="24"/>
        </w:rPr>
        <w:t>선정 판단</w:t>
      </w:r>
    </w:p>
    <w:p>
      <w:pPr>
        <w:spacing w:before="0" w:after="140" w:line="293" w:lineRule="auto"/>
        <w:snapToGrid w:val="0"/>
      </w:pPr>
      <w:r>
        <w:rPr>
          <w:rFonts w:ascii="맑은 고딕" w:hAnsi="맑은 고딕" w:eastAsia="맑은 고딕"/>
          <w:b w:val="0"/>
          <w:color w:val="263445"/>
          <w:sz w:val="18"/>
        </w:rPr>
        <w:t>강진 반값여행은 지역 지출의 일부를 모바일 상품권으로 환급하여 재소비를 유도함. 제주시의 경우 규모가 훨씬 크므로, 전 지역이 아닌 특정 권역(전통시장, 외식업 등)과 업종에 집중한 시범 사업 형태로 운영하여 예산 효율성을 높임.</w:t>
      </w:r>
    </w:p>
    <w:p>
      <w:pPr>
        <w:spacing w:before="0" w:after="140" w:line="293" w:lineRule="auto"/>
        <w:snapToGrid w:val="0"/>
      </w:pPr>
      <w:r>
        <w:rPr>
          <w:rFonts w:ascii="맑은 고딕" w:hAnsi="맑은 고딕" w:eastAsia="맑은 고딕"/>
          <w:b w:val="0"/>
          <w:color w:val="536477"/>
          <w:sz w:val="16"/>
        </w:rPr>
        <w:t>연결 근거  한국관광 데이터랩 우수 활용사례(2025)—데이터 기반 강진 반값여행으로 지역 경제를 살리다</w:t>
      </w:r>
    </w:p>
    <w:p>
      <w:pPr>
        <w:pStyle w:val="Heading1"/>
        <w:spacing w:before="0" w:after="300" w:line="293" w:lineRule="auto"/>
        <w:pageBreakBefore/>
        <w:snapToGrid w:val="0"/>
      </w:pPr>
      <w:r>
        <w:rPr>
          <w:rFonts w:ascii="맑은 고딕" w:hAnsi="맑은 고딕" w:eastAsia="맑은 고딕"/>
          <w:b/>
          <w:color w:val="000000"/>
          <w:sz w:val="38"/>
        </w:rPr>
        <w:t>04  4단계 실행 가이드 예시안</w:t>
      </w:r>
    </w:p>
    <w:p>
      <w:pPr>
        <w:pStyle w:val="Heading2"/>
        <w:spacing w:before="200" w:after="140" w:line="293" w:lineRule="auto"/>
        <w:snapToGrid w:val="0"/>
      </w:pPr>
      <w:r>
        <w:rPr>
          <w:rFonts w:ascii="맑은 고딕" w:hAnsi="맑은 고딕" w:eastAsia="맑은 고딕"/>
          <w:b/>
          <w:color w:val="000000"/>
          <w:sz w:val="24"/>
        </w:rPr>
        <w:t>01  준비와 협의</w:t>
      </w:r>
    </w:p>
    <w:p>
      <w:pPr>
        <w:spacing w:before="0" w:after="140" w:line="293" w:lineRule="auto"/>
        <w:snapToGrid w:val="0"/>
      </w:pPr>
      <w:r>
        <w:rPr>
          <w:rFonts w:ascii="맑은 고딕" w:hAnsi="맑은 고딕" w:eastAsia="맑은 고딕"/>
          <w:b w:val="0"/>
          <w:color w:val="0054A6"/>
          <w:sz w:val="18"/>
        </w:rPr>
        <w:t>2026-10  |  사업 총괄</w:t>
      </w:r>
    </w:p>
    <w:p>
      <w:pPr>
        <w:spacing w:before="0" w:after="140" w:line="293" w:lineRule="auto"/>
        <w:snapToGrid w:val="0"/>
      </w:pPr>
      <w:r>
        <w:rPr>
          <w:rFonts w:ascii="맑은 고딕" w:hAnsi="맑은 고딕" w:eastAsia="맑은 고딕"/>
          <w:b/>
          <w:color w:val="263445"/>
          <w:sz w:val="20"/>
        </w:rPr>
        <w:t>참여 가게와 지원 기준을 먼저 정합니다.</w:t>
      </w:r>
    </w:p>
    <w:p>
      <w:pPr>
        <w:spacing w:before="0" w:after="140" w:line="293" w:lineRule="auto"/>
        <w:snapToGrid w:val="0"/>
      </w:pPr>
      <w:r>
        <w:rPr>
          <w:rFonts w:ascii="맑은 고딕" w:hAnsi="맑은 고딕" w:eastAsia="맑은 고딕"/>
          <w:b w:val="0"/>
          <w:color w:val="263445"/>
          <w:sz w:val="20"/>
        </w:rPr>
        <w:t>참여를 희망하는 가게에 사용 가능한 상품권과 정산 방법을 확인합니다. 지원 대상, 인정할 지출, 신청 마감일과 1인당 한도를 정해 같은 안내문을 배포합니다.</w:t>
      </w:r>
    </w:p>
    <w:p>
      <w:pPr>
        <w:pStyle w:val="Heading2"/>
        <w:spacing w:before="200" w:after="140" w:line="293" w:lineRule="auto"/>
        <w:snapToGrid w:val="0"/>
      </w:pPr>
      <w:r>
        <w:rPr>
          <w:rFonts w:ascii="맑은 고딕" w:hAnsi="맑은 고딕" w:eastAsia="맑은 고딕"/>
          <w:b/>
          <w:color w:val="000000"/>
          <w:sz w:val="24"/>
        </w:rPr>
        <w:t>02  운영 절차 점검</w:t>
      </w:r>
    </w:p>
    <w:p>
      <w:pPr>
        <w:spacing w:before="0" w:after="140" w:line="293" w:lineRule="auto"/>
        <w:snapToGrid w:val="0"/>
      </w:pPr>
      <w:r>
        <w:rPr>
          <w:rFonts w:ascii="맑은 고딕" w:hAnsi="맑은 고딕" w:eastAsia="맑은 고딕"/>
          <w:b w:val="0"/>
          <w:color w:val="0054A6"/>
          <w:sz w:val="18"/>
        </w:rPr>
        <w:t>2026-10  |  운영·정산 담당</w:t>
      </w:r>
    </w:p>
    <w:p>
      <w:pPr>
        <w:spacing w:before="0" w:after="140" w:line="293" w:lineRule="auto"/>
        <w:snapToGrid w:val="0"/>
      </w:pPr>
      <w:r>
        <w:rPr>
          <w:rFonts w:ascii="맑은 고딕" w:hAnsi="맑은 고딕" w:eastAsia="맑은 고딕"/>
          <w:b/>
          <w:color w:val="263445"/>
          <w:sz w:val="20"/>
        </w:rPr>
        <w:t>신청부터 지급까지 직접 시험합니다.</w:t>
      </w:r>
    </w:p>
    <w:p>
      <w:pPr>
        <w:spacing w:before="0" w:after="140" w:line="293" w:lineRule="auto"/>
        <w:snapToGrid w:val="0"/>
      </w:pPr>
      <w:r>
        <w:rPr>
          <w:rFonts w:ascii="맑은 고딕" w:hAnsi="맑은 고딕" w:eastAsia="맑은 고딕"/>
          <w:b w:val="0"/>
          <w:color w:val="263445"/>
          <w:sz w:val="20"/>
        </w:rPr>
        <w:t>시험 신청서를 넣고 영수증의 날짜·가게·금액을 확인합니다. 취소 결제와 중복 신청을 걸러내고, 서류가 부족할 때 누구에게 보완을 요청할지도 정합니다.</w:t>
      </w:r>
    </w:p>
    <w:p>
      <w:pPr>
        <w:pStyle w:val="Heading2"/>
        <w:spacing w:before="200" w:after="140" w:line="293" w:lineRule="auto"/>
        <w:snapToGrid w:val="0"/>
      </w:pPr>
      <w:r>
        <w:rPr>
          <w:rFonts w:ascii="맑은 고딕" w:hAnsi="맑은 고딕" w:eastAsia="맑은 고딕"/>
          <w:b/>
          <w:color w:val="000000"/>
          <w:sz w:val="24"/>
        </w:rPr>
        <w:t>03  시범 운영</w:t>
      </w:r>
    </w:p>
    <w:p>
      <w:pPr>
        <w:spacing w:before="0" w:after="140" w:line="293" w:lineRule="auto"/>
        <w:snapToGrid w:val="0"/>
      </w:pPr>
      <w:r>
        <w:rPr>
          <w:rFonts w:ascii="맑은 고딕" w:hAnsi="맑은 고딕" w:eastAsia="맑은 고딕"/>
          <w:b w:val="0"/>
          <w:color w:val="0054A6"/>
          <w:sz w:val="18"/>
        </w:rPr>
        <w:t>2026-10 ~ 2026-12  |  현장 운영 담당</w:t>
      </w:r>
    </w:p>
    <w:p>
      <w:pPr>
        <w:spacing w:before="0" w:after="140" w:line="293" w:lineRule="auto"/>
        <w:snapToGrid w:val="0"/>
      </w:pPr>
      <w:r>
        <w:rPr>
          <w:rFonts w:ascii="맑은 고딕" w:hAnsi="맑은 고딕" w:eastAsia="맑은 고딕"/>
          <w:b/>
          <w:color w:val="263445"/>
          <w:sz w:val="20"/>
        </w:rPr>
        <w:t>작게 시작하고 확인된 신청부터 지급합니다.</w:t>
      </w:r>
    </w:p>
    <w:p>
      <w:pPr>
        <w:spacing w:before="0" w:after="140" w:line="293" w:lineRule="auto"/>
        <w:snapToGrid w:val="0"/>
      </w:pPr>
      <w:r>
        <w:rPr>
          <w:rFonts w:ascii="맑은 고딕" w:hAnsi="맑은 고딕" w:eastAsia="맑은 고딕"/>
          <w:b w:val="0"/>
          <w:color w:val="263445"/>
          <w:sz w:val="20"/>
        </w:rPr>
        <w:t>참여 가게를 한정해 먼저 운영합니다. 담당자가 지출 증빙을 확인한 뒤 정해진 기준에 따라 환급하고, 신청자에게 지급일과 상품권 사용 방법을 알려줍니다.</w:t>
      </w:r>
    </w:p>
    <w:p>
      <w:pPr>
        <w:pStyle w:val="Heading2"/>
        <w:spacing w:before="200" w:after="140" w:line="293" w:lineRule="auto"/>
        <w:snapToGrid w:val="0"/>
      </w:pPr>
      <w:r>
        <w:rPr>
          <w:rFonts w:ascii="맑은 고딕" w:hAnsi="맑은 고딕" w:eastAsia="맑은 고딕"/>
          <w:b/>
          <w:color w:val="000000"/>
          <w:sz w:val="24"/>
        </w:rPr>
        <w:t>04  실적 확인과 평가</w:t>
      </w:r>
    </w:p>
    <w:p>
      <w:pPr>
        <w:spacing w:before="0" w:after="140" w:line="293" w:lineRule="auto"/>
        <w:snapToGrid w:val="0"/>
      </w:pPr>
      <w:r>
        <w:rPr>
          <w:rFonts w:ascii="맑은 고딕" w:hAnsi="맑은 고딕" w:eastAsia="맑은 고딕"/>
          <w:b w:val="0"/>
          <w:color w:val="0054A6"/>
          <w:sz w:val="18"/>
        </w:rPr>
        <w:t>2026-11 / 2026-12  |  사업·평가 담당</w:t>
      </w:r>
    </w:p>
    <w:p>
      <w:pPr>
        <w:spacing w:before="0" w:after="140" w:line="293" w:lineRule="auto"/>
        <w:snapToGrid w:val="0"/>
      </w:pPr>
      <w:r>
        <w:rPr>
          <w:rFonts w:ascii="맑은 고딕" w:hAnsi="맑은 고딕" w:eastAsia="맑은 고딕"/>
          <w:b/>
          <w:color w:val="263445"/>
          <w:sz w:val="20"/>
        </w:rPr>
        <w:t>지급 기록과 실제 사용 결과를 확인합니다.</w:t>
      </w:r>
    </w:p>
    <w:p>
      <w:pPr>
        <w:spacing w:before="0" w:after="140" w:line="293" w:lineRule="auto"/>
        <w:snapToGrid w:val="0"/>
      </w:pPr>
      <w:r>
        <w:rPr>
          <w:rFonts w:ascii="맑은 고딕" w:hAnsi="맑은 고딕" w:eastAsia="맑은 고딕"/>
          <w:b w:val="0"/>
          <w:color w:val="263445"/>
          <w:sz w:val="20"/>
        </w:rPr>
        <w:t>매주 신청·승인·지급 건수와 비용을 맞춰 봅니다. 상품권 사용 집계가 가능한지 운영사에 확인하고, 종료 후 취소를 뺀 실적을 정리합니다. 전체 관광소비 증가를 전부 사업 성과로 보지는 않습니다.</w:t>
      </w:r>
    </w:p>
    <w:p>
      <w:pPr>
        <w:spacing w:before="0" w:after="140" w:line="293" w:lineRule="auto"/>
        <w:snapToGrid w:val="0"/>
      </w:pPr>
      <w:r>
        <w:rPr>
          <w:rFonts w:ascii="맑은 고딕" w:hAnsi="맑은 고딕" w:eastAsia="맑은 고딕"/>
          <w:b w:val="0"/>
          <w:color w:val="536477"/>
          <w:sz w:val="18"/>
        </w:rPr>
        <w:t>일정은 저장 기획안, 업무 설명은 사업 유형별 운영 안내 함수를 사용한 실행 예시입니다. 담당 역할과 운영 조건은 협의해 조정할 수 있습니다.</w:t>
      </w:r>
    </w:p>
    <w:p>
      <w:pPr>
        <w:pStyle w:val="Heading1"/>
        <w:spacing w:before="0" w:after="300" w:line="293" w:lineRule="auto"/>
        <w:pageBreakBefore/>
        <w:snapToGrid w:val="0"/>
      </w:pPr>
      <w:r>
        <w:rPr>
          <w:rFonts w:ascii="맑은 고딕" w:hAnsi="맑은 고딕" w:eastAsia="맑은 고딕"/>
          <w:b/>
          <w:color w:val="000000"/>
          <w:sz w:val="38"/>
        </w:rPr>
        <w:t>05  견적 예시안</w:t>
      </w:r>
    </w:p>
    <w:p>
      <w:pPr>
        <w:spacing w:before="0" w:after="140" w:line="293" w:lineRule="auto"/>
        <w:snapToGrid w:val="0"/>
      </w:pPr>
      <w:r>
        <w:rPr>
          <w:rFonts w:ascii="맑은 고딕" w:hAnsi="맑은 고딕" w:eastAsia="맑은 고딕"/>
          <w:b/>
          <w:color w:val="0054A6"/>
          <w:sz w:val="48"/>
        </w:rPr>
        <w:t>총 876,645,000원</w:t>
      </w:r>
    </w:p>
    <w:p>
      <w:pPr>
        <w:spacing w:before="0" w:after="140" w:line="293" w:lineRule="auto"/>
        <w:snapToGrid w:val="0"/>
      </w:pPr>
      <w:r>
        <w:rPr>
          <w:rFonts w:ascii="맑은 고딕" w:hAnsi="맑은 고딕" w:eastAsia="맑은 고딕"/>
          <w:b w:val="0"/>
          <w:color w:val="536477"/>
          <w:sz w:val="20"/>
        </w:rPr>
        <w:t>예상 견적이며 실제 액수와 다를 수 있습니다.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1"/>
        <w:gridCol w:w="2041"/>
        <w:gridCol w:w="5556"/>
      </w:tblGrid>
      <w:tr>
        <w:trPr>
          <w:tblHeader/>
          <w:cantSplit/>
        </w:trPr>
        <w:tc>
          <w:tcPr>
            <w:tcW w:type="dxa" w:w="2041"/>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항목</w:t>
            </w:r>
          </w:p>
        </w:tc>
        <w:tc>
          <w:tcPr>
            <w:tcW w:type="dxa" w:w="2041"/>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금액</w:t>
            </w:r>
          </w:p>
        </w:tc>
        <w:tc>
          <w:tcPr>
            <w:tcW w:type="dxa" w:w="5556"/>
            <w:vAlign w:val="center"/>
            <w:shd w:fill="16845B"/>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산출근거</w:t>
            </w:r>
          </w:p>
        </w:tc>
      </w:tr>
      <w:tr>
        <w:trPr>
          <w:cantSplit/>
        </w:trPr>
        <w:tc>
          <w:tcPr>
            <w:tcW w:type="dxa" w:w="2041"/>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여행비 환급 지원</w:t>
            </w:r>
          </w:p>
        </w:tc>
        <w:tc>
          <w:tcPr>
            <w:tcW w:type="dxa" w:w="2041"/>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697,250,000원</w:t>
            </w:r>
          </w:p>
        </w:tc>
        <w:tc>
          <w:tcPr>
            <w:tcW w:type="dxa" w:w="5556"/>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13,945건 × 50,000원</w:t>
            </w:r>
          </w:p>
        </w:tc>
      </w:tr>
      <w:tr>
        <w:trPr>
          <w:cantSplit/>
        </w:trPr>
        <w:tc>
          <w:tcPr>
            <w:tcW w:type="dxa" w:w="2041"/>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현장 운영·정산</w:t>
            </w:r>
          </w:p>
        </w:tc>
        <w:tc>
          <w:tcPr>
            <w:tcW w:type="dxa" w:w="2041"/>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83,700,000원</w:t>
            </w:r>
          </w:p>
        </w:tc>
        <w:tc>
          <w:tcPr>
            <w:tcW w:type="dxa" w:w="5556"/>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max(월 20인일 × 3, 13,945건 ÷ 25건/인일 올림) = 558인일 × 150,000원</w:t>
            </w:r>
          </w:p>
        </w:tc>
      </w:tr>
      <w:tr>
        <w:trPr>
          <w:cantSplit/>
        </w:trPr>
        <w:tc>
          <w:tcPr>
            <w:tcW w:type="dxa" w:w="2041"/>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신청·증빙 시스템</w:t>
            </w:r>
          </w:p>
        </w:tc>
        <w:tc>
          <w:tcPr>
            <w:tcW w:type="dxa" w:w="2041"/>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8,000,000원</w:t>
            </w:r>
          </w:p>
        </w:tc>
        <w:tc>
          <w:tcPr>
            <w:tcW w:type="dxa" w:w="5556"/>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기존 시스템 설정 1식 × 800만원</w:t>
            </w:r>
          </w:p>
        </w:tc>
      </w:tr>
      <w:tr>
        <w:trPr>
          <w:cantSplit/>
        </w:trPr>
        <w:tc>
          <w:tcPr>
            <w:tcW w:type="dxa" w:w="2041"/>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홍보·참여처 안내</w:t>
            </w:r>
          </w:p>
        </w:tc>
        <w:tc>
          <w:tcPr>
            <w:tcW w:type="dxa" w:w="2041"/>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5,000,000원</w:t>
            </w:r>
          </w:p>
        </w:tc>
        <w:tc>
          <w:tcPr>
            <w:tcW w:type="dxa" w:w="5556"/>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콘텐츠·안내물 1식 × 500만원</w:t>
            </w:r>
          </w:p>
        </w:tc>
      </w:tr>
      <w:tr>
        <w:trPr>
          <w:cantSplit/>
        </w:trPr>
        <w:tc>
          <w:tcPr>
            <w:tcW w:type="dxa" w:w="2041"/>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성과 집계·검토</w:t>
            </w:r>
          </w:p>
        </w:tc>
        <w:tc>
          <w:tcPr>
            <w:tcW w:type="dxa" w:w="2041"/>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3,000,000원</w:t>
            </w:r>
          </w:p>
        </w:tc>
        <w:tc>
          <w:tcPr>
            <w:tcW w:type="dxa" w:w="5556"/>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자료 정리·평가 1식 × 300만원</w:t>
            </w:r>
          </w:p>
        </w:tc>
      </w:tr>
      <w:tr>
        <w:trPr>
          <w:cantSplit/>
        </w:trPr>
        <w:tc>
          <w:tcPr>
            <w:tcW w:type="dxa" w:w="2041"/>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예비비</w:t>
            </w:r>
          </w:p>
        </w:tc>
        <w:tc>
          <w:tcPr>
            <w:tcW w:type="dxa" w:w="2041"/>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79,695,000원</w:t>
            </w:r>
          </w:p>
        </w:tc>
        <w:tc>
          <w:tcPr>
            <w:tcW w:type="dxa" w:w="5556"/>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직접비 79,695만원 × 10%</w:t>
            </w:r>
          </w:p>
        </w:tc>
      </w:tr>
      <w:tr>
        <w:trPr>
          <w:cantSplit/>
        </w:trPr>
        <w:tc>
          <w:tcPr>
            <w:tcW w:type="dxa" w:w="2041"/>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합계</w:t>
            </w:r>
          </w:p>
        </w:tc>
        <w:tc>
          <w:tcPr>
            <w:tcW w:type="dxa" w:w="2041"/>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876,645,000원</w:t>
            </w:r>
          </w:p>
        </w:tc>
        <w:tc>
          <w:tcPr>
            <w:tcW w:type="dxa" w:w="5556"/>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항목별 금액 합계</w:t>
            </w:r>
          </w:p>
        </w:tc>
      </w:tr>
    </w:tbl>
    <w:p>
      <w:pPr>
        <w:spacing w:before="0" w:after="40" w:line="293" w:lineRule="auto"/>
        <w:snapToGrid w:val="0"/>
      </w:pPr>
      <w:r>
        <w:rPr>
          <w:rFonts w:ascii="맑은 고딕" w:hAnsi="맑은 고딕" w:eastAsia="맑은 고딕"/>
          <w:b w:val="0"/>
          <w:color w:val="263445"/>
          <w:sz w:val="4"/>
        </w:rPr>
      </w:r>
    </w:p>
    <w:p>
      <w:pPr>
        <w:pStyle w:val="Heading2"/>
        <w:spacing w:before="200" w:after="140" w:line="293" w:lineRule="auto"/>
        <w:snapToGrid w:val="0"/>
      </w:pPr>
      <w:r>
        <w:rPr>
          <w:rFonts w:ascii="맑은 고딕" w:hAnsi="맑은 고딕" w:eastAsia="맑은 고딕"/>
          <w:b/>
          <w:color w:val="000000"/>
          <w:sz w:val="24"/>
        </w:rPr>
        <w:t>규모를 정한 기준</w:t>
      </w:r>
    </w:p>
    <w:p>
      <w:pPr>
        <w:spacing w:before="0" w:after="140" w:line="293" w:lineRule="auto"/>
        <w:snapToGrid w:val="0"/>
      </w:pPr>
      <w:r>
        <w:rPr>
          <w:rFonts w:ascii="맑은 고딕" w:hAnsi="맑은 고딕" w:eastAsia="맑은 고딕"/>
          <w:b w:val="0"/>
          <w:color w:val="263445"/>
          <w:sz w:val="20"/>
        </w:rPr>
        <w:t>사업기간 추가 방문 목표 1,394,404명 × 시범 담당 비중 1% → 13,945건(올림). 1%는 직접 운영할 참여량 배분 가정이며 전환율 예측이 아닙니다.</w:t>
      </w:r>
    </w:p>
    <w:p>
      <w:pPr>
        <w:spacing w:before="0" w:after="140" w:line="293" w:lineRule="auto"/>
        <w:snapToGrid w:val="0"/>
      </w:pPr>
      <w:r>
        <w:rPr>
          <w:rFonts w:ascii="맑은 고딕" w:hAnsi="맑은 고딕" w:eastAsia="맑은 고딕"/>
          <w:b w:val="0"/>
          <w:color w:val="263445"/>
          <w:sz w:val="18"/>
        </w:rPr>
        <w:t>직접비 = 참여 혜택 + 운영·정산 + 시스템 + 홍보 + 평가. 예비비 = 직접비 × 10%. 단가와 처리량은 기획 가정입니다.</w:t>
      </w:r>
    </w:p>
    <w:p>
      <w:pPr>
        <w:spacing w:before="0" w:after="140" w:line="293" w:lineRule="auto"/>
        <w:snapToGrid w:val="0"/>
      </w:pPr>
      <w:r>
        <w:rPr>
          <w:rFonts w:ascii="맑은 고딕" w:hAnsi="맑은 고딕" w:eastAsia="맑은 고딕"/>
          <w:b w:val="0"/>
          <w:color w:val="536477"/>
          <w:sz w:val="16"/>
        </w:rPr>
        <w:t>전 항목은 기획용 가정 단가이며 확정 견적·공식 표준단가가 아닙니다.</w:t>
      </w:r>
    </w:p>
    <w:p>
      <w:pPr>
        <w:spacing w:before="0" w:after="140" w:line="293" w:lineRule="auto"/>
        <w:snapToGrid w:val="0"/>
      </w:pPr>
      <w:r>
        <w:rPr>
          <w:rFonts w:ascii="맑은 고딕" w:hAnsi="맑은 고딕" w:eastAsia="맑은 고딕"/>
          <w:b w:val="0"/>
          <w:color w:val="536477"/>
          <w:sz w:val="16"/>
        </w:rPr>
        <w:t>인력 15만원/인일은 현장 용역 예산 가정입니다. 근로계약 임금 산정값이 아닙니다.</w:t>
      </w:r>
    </w:p>
    <w:p>
      <w:pPr>
        <w:spacing w:before="0" w:after="140" w:line="293" w:lineRule="auto"/>
        <w:snapToGrid w:val="0"/>
      </w:pPr>
      <w:r>
        <w:rPr>
          <w:rFonts w:ascii="맑은 고딕" w:hAnsi="맑은 고딕" w:eastAsia="맑은 고딕"/>
          <w:b w:val="0"/>
          <w:color w:val="536477"/>
          <w:sz w:val="16"/>
        </w:rPr>
        <w:t>시스템은 기존 신청·정산 수단의 설정·운영 범위입니다. 신규 앱·키오스크 구축비는 제외합니다.</w:t>
      </w:r>
    </w:p>
    <w:p>
      <w:pPr>
        <w:spacing w:before="0" w:after="140" w:line="293" w:lineRule="auto"/>
        <w:snapToGrid w:val="0"/>
      </w:pPr>
      <w:r>
        <w:rPr>
          <w:rFonts w:ascii="맑은 고딕" w:hAnsi="맑은 고딕" w:eastAsia="맑은 고딕"/>
          <w:b w:val="0"/>
          <w:color w:val="536477"/>
          <w:sz w:val="16"/>
        </w:rPr>
        <w:t>용역비는 세금 포함 예산 한도로 가정합니다. 환급금 과세·수수료·계약조건은 착수 전 확인합니다.</w:t>
      </w:r>
    </w:p>
    <w:p>
      <w:pPr>
        <w:spacing w:before="0" w:after="140" w:line="293" w:lineRule="auto"/>
        <w:snapToGrid w:val="0"/>
      </w:pPr>
      <w:r>
        <w:rPr>
          <w:rFonts w:ascii="맑은 고딕" w:hAnsi="맑은 고딕" w:eastAsia="맑은 고딕"/>
          <w:b w:val="0"/>
          <w:color w:val="536477"/>
          <w:sz w:val="16"/>
        </w:rPr>
        <w:t>지원 건수·평균 지원액·80% 후속 사용 목표는 운영 제안이며 관측값 또는 ML 산출값이 아닙니다.</w:t>
      </w:r>
    </w:p>
    <w:p>
      <w:pPr>
        <w:pStyle w:val="Heading1"/>
        <w:spacing w:before="0" w:after="300" w:line="293" w:lineRule="auto"/>
        <w:pageBreakBefore/>
        <w:snapToGrid w:val="0"/>
      </w:pPr>
      <w:r>
        <w:rPr>
          <w:rFonts w:ascii="맑은 고딕" w:hAnsi="맑은 고딕" w:eastAsia="맑은 고딕"/>
          <w:b/>
          <w:color w:val="000000"/>
          <w:sz w:val="38"/>
        </w:rPr>
        <w:t>06  전망에서 목표와 견적까지</w:t>
      </w:r>
    </w:p>
    <w:p>
      <w:pPr>
        <w:pStyle w:val="Heading2"/>
        <w:spacing w:before="200" w:after="140" w:line="293" w:lineRule="auto"/>
        <w:snapToGrid w:val="0"/>
      </w:pPr>
      <w:r>
        <w:rPr>
          <w:rFonts w:ascii="맑은 고딕" w:hAnsi="맑은 고딕" w:eastAsia="맑은 고딕"/>
          <w:b/>
          <w:color w:val="000000"/>
          <w:sz w:val="24"/>
        </w:rPr>
        <w:t>1  월별 기준 전망을 계산합니다</w:t>
      </w:r>
    </w:p>
    <w:p>
      <w:pPr>
        <w:spacing w:before="0" w:after="140" w:line="293" w:lineRule="auto"/>
        <w:snapToGrid w:val="0"/>
      </w:pPr>
      <w:r>
        <w:rPr>
          <w:rFonts w:ascii="맑은 고딕" w:hAnsi="맑은 고딕" w:eastAsia="맑은 고딕"/>
          <w:b w:val="0"/>
          <w:color w:val="263445"/>
          <w:sz w:val="20"/>
        </w:rPr>
        <w:t>202401~202606 월별 데이터에서 1·3·12개월 전 값과 계절 정보를 구성합니다. 방문은 랜덤 포레스트, 소비는 선형 회귀로 산출합니다. 전년 동월 기준모델이 선택된 지표는 해당 월의 전년 값을 사용합니다. 최신 관측월 이후를 순차 계산한 뒤 사업기간의 3개월을 표시합니다.</w:t>
      </w:r>
    </w:p>
    <w:p>
      <w:pPr>
        <w:pStyle w:val="Heading2"/>
        <w:spacing w:before="200" w:after="140" w:line="293" w:lineRule="auto"/>
        <w:snapToGrid w:val="0"/>
      </w:pPr>
      <w:r>
        <w:rPr>
          <w:rFonts w:ascii="맑은 고딕" w:hAnsi="맑은 고딕" w:eastAsia="맑은 고딕"/>
          <w:b/>
          <w:color w:val="000000"/>
          <w:sz w:val="24"/>
        </w:rPr>
        <w:t>2  사례 실적을 목표율로 해석합니다</w:t>
      </w:r>
    </w:p>
    <w:p>
      <w:pPr>
        <w:spacing w:before="0" w:after="140" w:line="293" w:lineRule="auto"/>
        <w:snapToGrid w:val="0"/>
      </w:pPr>
      <w:r>
        <w:rPr>
          <w:rFonts w:ascii="맑은 고딕" w:hAnsi="맑은 고딕" w:eastAsia="맑은 고딕"/>
          <w:b w:val="0"/>
          <w:color w:val="263445"/>
          <w:sz w:val="18"/>
        </w:rPr>
        <w:t>강진군의회 2024-11-20 시정연설: 10월 말 관광객 약 248만 명, 전년 대비 25% 증가. 전년 규모 역산: 248만÷1.25≈198.4만 명, 차이≈49.6만 명. 역산값은 별도 관측 원자료가 아니다. 반값여행과 축제의 동시기 실적이며 사업 단독 효과·ML 대비 증가율은 아니다. 제주특별자치도 제주시에서는 최종월 방문 +20%를 도전 목표로 제안한다(25% × 80%). 80%는 전면 적용 대신 단계 운영을 고려한 계획 가정이며 인구 보정·통계 추정 계수가 아니다. 기본 소비 목표는 월별 소비/방문 비율을 추가 방문 수에 적용한 계획 가정이며 강진 소비 실적으로 계산한 값이 아니다. 방문 수가 0보다 큰 월은 ML 소비액÷ML 방문 수를 추가 방문 수에 곱한다. 같은 월의 두 증가율은 같으며, 이 비율은 실제 1인당 소비액이 아니다.</w:t>
      </w:r>
    </w:p>
    <w:p>
      <w:pPr>
        <w:pStyle w:val="Heading2"/>
        <w:spacing w:before="200" w:after="140" w:line="293" w:lineRule="auto"/>
        <w:snapToGrid w:val="0"/>
      </w:pPr>
      <w:r>
        <w:rPr>
          <w:rFonts w:ascii="맑은 고딕" w:hAnsi="맑은 고딕" w:eastAsia="맑은 고딕"/>
          <w:b/>
          <w:color w:val="000000"/>
          <w:sz w:val="24"/>
        </w:rPr>
        <w:t>3  월별 목표와 추가 규모를 계산합니다</w:t>
      </w:r>
    </w:p>
    <w:p>
      <w:pPr>
        <w:spacing w:before="0" w:after="140" w:line="293" w:lineRule="auto"/>
        <w:snapToGrid w:val="0"/>
      </w:pPr>
      <w:r>
        <w:rPr>
          <w:rFonts w:ascii="맑은 고딕" w:hAnsi="맑은 고딕" w:eastAsia="맑은 고딕"/>
          <w:b w:val="0"/>
          <w:color w:val="263445"/>
          <w:sz w:val="18"/>
        </w:rPr>
        <w:t>방문자 수: 기준 10,580,165명 → 목표 11,974,569명 (추가 1,394,404명, +13.18%)</w:t>
        <w:br/>
        <w:t>관광소비액: 기준 444,918,852,321원 → 목표 504,168,003,742원 (추가 59,249,151,421원, +13.32%)</w:t>
        <w:br/>
        <w:t>월별 목표 = 월별 기준 전망 × (1 + 최종월 목표율 × 경과월/전체월). 합계 증가율 = (월별 목표 합계 ÷ 월별 기준 합계 − 1) × 100. 방문 합계는 월간 순 방문 수의 합계로, 3개월 고유 인원과 다릅니다.</w:t>
      </w:r>
    </w:p>
    <w:p>
      <w:pPr>
        <w:pStyle w:val="Heading2"/>
        <w:spacing w:before="200" w:after="140" w:line="293" w:lineRule="auto"/>
        <w:snapToGrid w:val="0"/>
      </w:pPr>
      <w:r>
        <w:rPr>
          <w:rFonts w:ascii="맑은 고딕" w:hAnsi="맑은 고딕" w:eastAsia="맑은 고딕"/>
          <w:b/>
          <w:color w:val="000000"/>
          <w:sz w:val="24"/>
        </w:rPr>
        <w:t>4  참여량과 운영비를 편성합니다</w:t>
      </w:r>
    </w:p>
    <w:p>
      <w:pPr>
        <w:spacing w:before="0" w:after="140" w:line="293" w:lineRule="auto"/>
        <w:snapToGrid w:val="0"/>
      </w:pPr>
      <w:r>
        <w:rPr>
          <w:rFonts w:ascii="맑은 고딕" w:hAnsi="맑은 고딕" w:eastAsia="맑은 고딕"/>
          <w:b w:val="0"/>
          <w:color w:val="263445"/>
          <w:sz w:val="18"/>
        </w:rPr>
        <w:t>사업기간 추가 방문 목표 1,394,404명 × 시범 담당 비중 1% → 13,945건(올림). 1%는 직접 운영할 참여량 배분 가정이며 전환율 예측이 아닙니다.</w:t>
      </w:r>
    </w:p>
    <w:p>
      <w:pPr>
        <w:spacing w:before="0" w:after="140" w:line="293" w:lineRule="auto"/>
        <w:snapToGrid w:val="0"/>
      </w:pPr>
      <w:r>
        <w:rPr>
          <w:rFonts w:ascii="맑은 고딕" w:hAnsi="맑은 고딕" w:eastAsia="맑은 고딕"/>
          <w:b w:val="0"/>
          <w:color w:val="536477"/>
          <w:sz w:val="18"/>
        </w:rPr>
        <w:t>참여량·단가·운영 처리량은 기획 가정입니다. 운영 예산이 지역 전체 목표 증가를 발생시킨다는 인과 계산은 아닙니다.</w:t>
      </w:r>
    </w:p>
    <w:p>
      <w:pPr>
        <w:pStyle w:val="Heading1"/>
        <w:spacing w:before="0" w:after="300" w:line="293" w:lineRule="auto"/>
        <w:pageBreakBefore/>
        <w:snapToGrid w:val="0"/>
      </w:pPr>
      <w:r>
        <w:rPr>
          <w:rFonts w:ascii="맑은 고딕" w:hAnsi="맑은 고딕" w:eastAsia="맑은 고딕"/>
          <w:b/>
          <w:color w:val="000000"/>
          <w:sz w:val="38"/>
        </w:rPr>
        <w:t>07  머신러닝 결과가 기획에 쓰이는 과정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52"/>
        <w:gridCol w:w="5386"/>
      </w:tblGrid>
      <w:tr>
        <w:trPr>
          <w:tblHeader/>
          <w:cantSplit/>
        </w:trPr>
        <w:tc>
          <w:tcPr>
            <w:tcW w:type="dxa" w:w="4252"/>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입력</w:t>
            </w:r>
          </w:p>
        </w:tc>
        <w:tc>
          <w:tcPr>
            <w:tcW w:type="dxa" w:w="5386"/>
            <w:vAlign w:val="center"/>
            <w:shd w:fill="0054A6"/>
            <w:tcMar>
              <w:top w:w="100" w:type="dxa"/>
              <w:bottom w:w="100" w:type="dxa"/>
              <w:left w:w="100" w:type="dxa"/>
              <w:right w:w="100" w:type="dxa"/>
            </w:tcMar>
          </w:tcPr>
          <w:p>
            <w:pPr>
              <w:spacing w:before="0" w:after="0" w:line="274" w:lineRule="auto"/>
              <w:snapToGrid w:val="0"/>
            </w:pPr>
            <w:r>
              <w:rPr>
                <w:rFonts w:ascii="맑은 고딕" w:hAnsi="맑은 고딕" w:eastAsia="맑은 고딕"/>
                <w:b/>
                <w:color w:val="FFFFFF"/>
                <w:sz w:val="18"/>
              </w:rPr>
              <w:t>결과의 사용처</w:t>
            </w:r>
          </w:p>
        </w:tc>
      </w:tr>
      <w:tr>
        <w:trPr>
          <w:cantSplit/>
        </w:trPr>
        <w:tc>
          <w:tcPr>
            <w:tcW w:type="dxa" w:w="4252"/>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방문자 수 · 관광소비액 전망</w:t>
            </w:r>
          </w:p>
        </w:tc>
        <w:tc>
          <w:tcPr>
            <w:tcW w:type="dxa" w:w="5386"/>
            <w:vAlign w:val="center"/>
            <w:shd w:fill="FFFFFF"/>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전망 그래프 → 월별 목표 → 추가 규모 → 견적의 운영량 가정</w:t>
            </w:r>
          </w:p>
        </w:tc>
      </w:tr>
      <w:tr>
        <w:trPr>
          <w:cantSplit/>
        </w:trPr>
        <w:tc>
          <w:tcPr>
            <w:tcW w:type="dxa" w:w="4252"/>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체류시간 · 숙박일수 · 숙박방문 비율</w:t>
              <w:br/>
              <w:t>내비게이션 검색 · 숙박 검색 전망</w:t>
            </w:r>
          </w:p>
        </w:tc>
        <w:tc>
          <w:tcPr>
            <w:tcW w:type="dxa" w:w="5386"/>
            <w:vAlign w:val="center"/>
            <w:shd w:fill="F0F5F8"/>
            <w:tcMar>
              <w:top w:w="100" w:type="dxa"/>
              <w:bottom w:w="100" w:type="dxa"/>
              <w:left w:w="100" w:type="dxa"/>
              <w:right w:w="100" w:type="dxa"/>
            </w:tcMar>
          </w:tcPr>
          <w:p>
            <w:pPr>
              <w:spacing w:before="0" w:after="0" w:line="274" w:lineRule="auto"/>
              <w:snapToGrid w:val="0"/>
            </w:pPr>
            <w:r>
              <w:rPr>
                <w:rFonts w:ascii="맑은 고딕" w:hAnsi="맑은 고딕" w:eastAsia="맑은 고딕"/>
                <w:b w:val="0"/>
                <w:color w:val="263445"/>
                <w:sz w:val="18"/>
              </w:rPr>
              <w:t>관광 흐름 진단 → 공식 사례 조사 방향 → 후보별 지역 적용 검토</w:t>
            </w:r>
          </w:p>
        </w:tc>
      </w:tr>
    </w:tbl>
    <w:p>
      <w:pPr>
        <w:spacing w:before="0" w:after="40" w:line="293" w:lineRule="auto"/>
        <w:snapToGrid w:val="0"/>
      </w:pPr>
      <w:r>
        <w:rPr>
          <w:rFonts w:ascii="맑은 고딕" w:hAnsi="맑은 고딕" w:eastAsia="맑은 고딕"/>
          <w:b w:val="0"/>
          <w:color w:val="263445"/>
          <w:sz w:val="4"/>
        </w:rPr>
      </w:r>
    </w:p>
    <w:p>
      <w:pPr>
        <w:pStyle w:val="Heading2"/>
        <w:spacing w:before="200" w:after="140" w:line="293" w:lineRule="auto"/>
        <w:snapToGrid w:val="0"/>
      </w:pPr>
      <w:r>
        <w:rPr>
          <w:rFonts w:ascii="맑은 고딕" w:hAnsi="맑은 고딕" w:eastAsia="맑은 고딕"/>
          <w:b/>
          <w:color w:val="000000"/>
          <w:sz w:val="24"/>
        </w:rPr>
        <w:t>공식 근거에서 최종 기획까지</w:t>
      </w:r>
    </w:p>
    <w:p>
      <w:pPr>
        <w:spacing w:before="0" w:after="140" w:line="293" w:lineRule="auto"/>
        <w:snapToGrid w:val="0"/>
      </w:pPr>
      <w:r>
        <w:rPr>
          <w:rFonts w:ascii="맑은 고딕" w:hAnsi="맑은 고딕" w:eastAsia="맑은 고딕"/>
          <w:b/>
          <w:color w:val="0054A6"/>
          <w:sz w:val="24"/>
        </w:rPr>
        <w:t>저장된 공식 사례 8건 → 설계 후보 2개 → 참고 사례 3건 표시</w:t>
      </w:r>
    </w:p>
    <w:p>
      <w:pPr>
        <w:pStyle w:val="Heading2"/>
        <w:spacing w:before="200" w:after="140" w:line="293" w:lineRule="auto"/>
        <w:snapToGrid w:val="0"/>
      </w:pPr>
      <w:r>
        <w:rPr>
          <w:rFonts w:ascii="맑은 고딕" w:hAnsi="맑은 고딕" w:eastAsia="맑은 고딕"/>
          <w:b/>
          <w:color w:val="000000"/>
          <w:sz w:val="24"/>
        </w:rPr>
        <w:t>01  지역 데이터와 전망</w:t>
      </w:r>
    </w:p>
    <w:p>
      <w:pPr>
        <w:spacing w:before="0" w:after="140" w:line="293" w:lineRule="auto"/>
        <w:snapToGrid w:val="0"/>
      </w:pPr>
      <w:r>
        <w:rPr>
          <w:rFonts w:ascii="맑은 고딕" w:hAnsi="맑은 고딕" w:eastAsia="맑은 고딕"/>
          <w:b w:val="0"/>
          <w:color w:val="263445"/>
          <w:sz w:val="20"/>
        </w:rPr>
        <w:t>원자료의 관측값과 7개 지표 전망을 지역 기획 입력으로 구성합니다. 방문·소비는 수치 기준선이며 나머지는 조사와 설계 방향을 검토하는 진단 입력입니다.</w:t>
      </w:r>
    </w:p>
    <w:p>
      <w:pPr>
        <w:pStyle w:val="Heading2"/>
        <w:spacing w:before="200" w:after="140" w:line="293" w:lineRule="auto"/>
        <w:snapToGrid w:val="0"/>
      </w:pPr>
      <w:r>
        <w:rPr>
          <w:rFonts w:ascii="맑은 고딕" w:hAnsi="맑은 고딕" w:eastAsia="맑은 고딕"/>
          <w:b/>
          <w:color w:val="000000"/>
          <w:sz w:val="24"/>
        </w:rPr>
        <w:t>02  Qwen의 후보 비교</w:t>
      </w:r>
    </w:p>
    <w:p>
      <w:pPr>
        <w:spacing w:before="0" w:after="140" w:line="293" w:lineRule="auto"/>
        <w:snapToGrid w:val="0"/>
      </w:pPr>
      <w:r>
        <w:rPr>
          <w:rFonts w:ascii="맑은 고딕" w:hAnsi="맑은 고딕" w:eastAsia="맑은 고딕"/>
          <w:b w:val="0"/>
          <w:color w:val="263445"/>
          <w:sz w:val="20"/>
        </w:rPr>
        <w:t>공식 사례의 운영 방식과 지역 입력을 읽고 후보를 비교합니다. 함수가 사업 운영 방식과 맞는 공식 문서를 연결합니다. 7개 예측값으로 학습한 지역 추천 모델은 아닙니다.</w:t>
      </w:r>
    </w:p>
    <w:p>
      <w:pPr>
        <w:pStyle w:val="Heading2"/>
        <w:spacing w:before="200" w:after="140" w:line="293" w:lineRule="auto"/>
        <w:snapToGrid w:val="0"/>
      </w:pPr>
      <w:r>
        <w:rPr>
          <w:rFonts w:ascii="맑은 고딕" w:hAnsi="맑은 고딕" w:eastAsia="맑은 고딕"/>
          <w:b/>
          <w:color w:val="000000"/>
          <w:sz w:val="24"/>
        </w:rPr>
        <w:t>03  Gemma의 본문 작성</w:t>
      </w:r>
    </w:p>
    <w:p>
      <w:pPr>
        <w:spacing w:before="0" w:after="140" w:line="293" w:lineRule="auto"/>
        <w:snapToGrid w:val="0"/>
      </w:pPr>
      <w:r>
        <w:rPr>
          <w:rFonts w:ascii="맑은 고딕" w:hAnsi="맑은 고딕" w:eastAsia="맑은 고딕"/>
          <w:b w:val="0"/>
          <w:color w:val="263445"/>
          <w:sz w:val="20"/>
        </w:rPr>
        <w:t>선정 후보와 지역 수치·공식 근거를 바탕으로 사업 소개와 실행 내용을 작성합니다. 목표와 견적은 별도의 계획 가정과 Python 산식으로 구성합니다.</w:t>
      </w:r>
    </w:p>
    <w:p>
      <w:pPr>
        <w:pStyle w:val="Heading2"/>
        <w:spacing w:before="200" w:after="140" w:line="293" w:lineRule="auto"/>
        <w:snapToGrid w:val="0"/>
      </w:pPr>
      <w:r>
        <w:rPr>
          <w:rFonts w:ascii="맑은 고딕" w:hAnsi="맑은 고딕" w:eastAsia="맑은 고딕"/>
          <w:b/>
          <w:color w:val="000000"/>
          <w:sz w:val="24"/>
        </w:rPr>
        <w:t>04  검수와 문서 출력</w:t>
      </w:r>
    </w:p>
    <w:p>
      <w:pPr>
        <w:spacing w:before="0" w:after="140" w:line="293" w:lineRule="auto"/>
        <w:snapToGrid w:val="0"/>
      </w:pPr>
      <w:r>
        <w:rPr>
          <w:rFonts w:ascii="맑은 고딕" w:hAnsi="맑은 고딕" w:eastAsia="맑은 고딕"/>
          <w:b w:val="0"/>
          <w:color w:val="263445"/>
          <w:sz w:val="20"/>
        </w:rPr>
        <w:t>수치·출처·기간을 확인한 저장 보고서에서 PPT와 Word를 생성합니다. 문서 출력 과정에서 LLM을 새로 호출하거나 예측 모델을 다시 학습하지 않습니다.</w:t>
      </w:r>
    </w:p>
    <w:p>
      <w:pPr>
        <w:pStyle w:val="Heading1"/>
        <w:spacing w:before="0" w:after="300" w:line="293" w:lineRule="auto"/>
        <w:pageBreakBefore/>
        <w:snapToGrid w:val="0"/>
      </w:pPr>
      <w:r>
        <w:rPr>
          <w:rFonts w:ascii="맑은 고딕" w:hAnsi="맑은 고딕" w:eastAsia="맑은 고딕"/>
          <w:b/>
          <w:color w:val="000000"/>
          <w:sz w:val="38"/>
        </w:rPr>
        <w:t>참고 자료와 출처</w:t>
      </w:r>
    </w:p>
    <w:p>
      <w:pPr>
        <w:spacing w:before="0" w:after="140" w:line="293" w:lineRule="auto"/>
        <w:snapToGrid w:val="0"/>
      </w:pPr>
      <w:r>
        <w:rPr>
          <w:rFonts w:ascii="맑은 고딕" w:hAnsi="맑은 고딕" w:eastAsia="맑은 고딕"/>
          <w:b w:val="0"/>
          <w:color w:val="536477"/>
          <w:sz w:val="18"/>
        </w:rPr>
        <w:t>저장 보고서의 전체 근거 목록입니다. 원자료·ML 전망·공식 사례를 구분하고 원문 주소와 문서 위치를 유지합니다.</w:t>
      </w:r>
    </w:p>
    <w:p>
      <w:pPr>
        <w:spacing w:before="0" w:after="40" w:line="293" w:lineRule="auto"/>
        <w:keepNext/>
        <w:snapToGrid w:val="0"/>
      </w:pPr>
      <w:r>
        <w:rPr>
          <w:rFonts w:ascii="맑은 고딕" w:hAnsi="맑은 고딕" w:eastAsia="맑은 고딕"/>
          <w:b/>
          <w:color w:val="263445"/>
          <w:sz w:val="18"/>
        </w:rPr>
        <w:t>01  한국관광 데이터랩 · 제주특별자치도 제주시 순 방문자 수 및 숙박 비율 (이동통신 기반 외지인)</w:t>
      </w:r>
    </w:p>
    <w:p>
      <w:pPr>
        <w:spacing w:before="0" w:after="40" w:line="293" w:lineRule="auto"/>
        <w:keepNext/>
        <w:snapToGrid w:val="0"/>
      </w:pPr>
      <w:r>
        <w:rPr>
          <w:rFonts w:ascii="맑은 고딕" w:hAnsi="맑은 고딕" w:eastAsia="맑은 고딕"/>
          <w:b w:val="0"/>
          <w:color w:val="536477"/>
          <w:sz w:val="16"/>
        </w:rPr>
        <w:t>dataset · dataset:50110:1</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02  한국관광 데이터랩 · 제주특별자치도 제주시 월간 순 방문자 수 (이동통신 기반 외지인)</w:t>
      </w:r>
    </w:p>
    <w:p>
      <w:pPr>
        <w:spacing w:before="0" w:after="40" w:line="293" w:lineRule="auto"/>
        <w:keepNext/>
        <w:snapToGrid w:val="0"/>
      </w:pPr>
      <w:r>
        <w:rPr>
          <w:rFonts w:ascii="맑은 고딕" w:hAnsi="맑은 고딕" w:eastAsia="맑은 고딕"/>
          <w:b w:val="0"/>
          <w:color w:val="536477"/>
          <w:sz w:val="16"/>
        </w:rPr>
        <w:t>dataset · dataset:50110:2</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03  한국관광 데이터랩 · 제주특별자치도 제주시 관광소비 추이_외지인</w:t>
      </w:r>
    </w:p>
    <w:p>
      <w:pPr>
        <w:spacing w:before="0" w:after="40" w:line="293" w:lineRule="auto"/>
        <w:keepNext/>
        <w:snapToGrid w:val="0"/>
      </w:pPr>
      <w:r>
        <w:rPr>
          <w:rFonts w:ascii="맑은 고딕" w:hAnsi="맑은 고딕" w:eastAsia="맑은 고딕"/>
          <w:b w:val="0"/>
          <w:color w:val="536477"/>
          <w:sz w:val="16"/>
        </w:rPr>
        <w:t>dataset · dataset:50110:3</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04  한국관광 데이터랩 · 제주특별자치도 제주시 숙박방문자 비율 추이 (이동통신 기반 외지인)</w:t>
      </w:r>
    </w:p>
    <w:p>
      <w:pPr>
        <w:spacing w:before="0" w:after="40" w:line="293" w:lineRule="auto"/>
        <w:keepNext/>
        <w:snapToGrid w:val="0"/>
      </w:pPr>
      <w:r>
        <w:rPr>
          <w:rFonts w:ascii="맑은 고딕" w:hAnsi="맑은 고딕" w:eastAsia="맑은 고딕"/>
          <w:b w:val="0"/>
          <w:color w:val="536477"/>
          <w:sz w:val="16"/>
        </w:rPr>
        <w:t>dataset · dataset:50110:4</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05  한국관광 데이터랩 · 제주특별자치도 제주시 평균 숙박일 (이동통신 기반 외지인)</w:t>
      </w:r>
    </w:p>
    <w:p>
      <w:pPr>
        <w:spacing w:before="0" w:after="40" w:line="293" w:lineRule="auto"/>
        <w:keepNext/>
        <w:snapToGrid w:val="0"/>
      </w:pPr>
      <w:r>
        <w:rPr>
          <w:rFonts w:ascii="맑은 고딕" w:hAnsi="맑은 고딕" w:eastAsia="맑은 고딕"/>
          <w:b w:val="0"/>
          <w:color w:val="536477"/>
          <w:sz w:val="16"/>
        </w:rPr>
        <w:t>dataset · dataset:50110:5</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06  한국관광 데이터랩 · 제주특별자치도 제주시 내비게이션 목적지 유형별 검색량</w:t>
      </w:r>
    </w:p>
    <w:p>
      <w:pPr>
        <w:spacing w:before="0" w:after="40" w:line="293" w:lineRule="auto"/>
        <w:keepNext/>
        <w:snapToGrid w:val="0"/>
      </w:pPr>
      <w:r>
        <w:rPr>
          <w:rFonts w:ascii="맑은 고딕" w:hAnsi="맑은 고딕" w:eastAsia="맑은 고딕"/>
          <w:b w:val="0"/>
          <w:color w:val="536477"/>
          <w:sz w:val="16"/>
        </w:rPr>
        <w:t>dataset · dataset:50110:6</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07  한국관광 데이터랩 · 제주특별자치도 제주시 SNS 언급량</w:t>
      </w:r>
    </w:p>
    <w:p>
      <w:pPr>
        <w:spacing w:before="0" w:after="40" w:line="293" w:lineRule="auto"/>
        <w:keepNext/>
        <w:snapToGrid w:val="0"/>
      </w:pPr>
      <w:r>
        <w:rPr>
          <w:rFonts w:ascii="맑은 고딕" w:hAnsi="맑은 고딕" w:eastAsia="맑은 고딕"/>
          <w:b w:val="0"/>
          <w:color w:val="536477"/>
          <w:sz w:val="16"/>
        </w:rPr>
        <w:t>dataset · dataset:50110:7</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08  한국관광 데이터랩 공식 다운로드 · 제주특별자치도_제주시/방문자/2026_01_06.zip</w:t>
      </w:r>
    </w:p>
    <w:p>
      <w:pPr>
        <w:spacing w:before="0" w:after="40" w:line="293" w:lineRule="auto"/>
        <w:keepNext/>
        <w:snapToGrid w:val="0"/>
      </w:pPr>
      <w:r>
        <w:rPr>
          <w:rFonts w:ascii="맑은 고딕" w:hAnsi="맑은 고딕" w:eastAsia="맑은 고딕"/>
          <w:b w:val="0"/>
          <w:color w:val="536477"/>
          <w:sz w:val="16"/>
        </w:rPr>
        <w:t>nationwide_dataset · datalab:3ec866bde028:27b141591f10</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09  한국관광 데이터랩 공식 다운로드 · 제주특별자치도_제주시/숙박_체류시간/2026_01_06.zip</w:t>
      </w:r>
    </w:p>
    <w:p>
      <w:pPr>
        <w:spacing w:before="0" w:after="40" w:line="293" w:lineRule="auto"/>
        <w:keepNext/>
        <w:snapToGrid w:val="0"/>
      </w:pPr>
      <w:r>
        <w:rPr>
          <w:rFonts w:ascii="맑은 고딕" w:hAnsi="맑은 고딕" w:eastAsia="맑은 고딕"/>
          <w:b w:val="0"/>
          <w:color w:val="536477"/>
          <w:sz w:val="16"/>
        </w:rPr>
        <w:t>nationwide_dataset · datalab:4833a91757b2:5c2efa032440</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10  한국관광 데이터랩 공식 다운로드 · 제주특별자치도_제주시/숙박_체류시간/2025_01_12.zip</w:t>
      </w:r>
    </w:p>
    <w:p>
      <w:pPr>
        <w:spacing w:before="0" w:after="40" w:line="293" w:lineRule="auto"/>
        <w:keepNext/>
        <w:snapToGrid w:val="0"/>
      </w:pPr>
      <w:r>
        <w:rPr>
          <w:rFonts w:ascii="맑은 고딕" w:hAnsi="맑은 고딕" w:eastAsia="맑은 고딕"/>
          <w:b w:val="0"/>
          <w:color w:val="536477"/>
          <w:sz w:val="16"/>
        </w:rPr>
        <w:t>nationwide_dataset · datalab:5d9f73f9fe47:2904d99e7279</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11  한국관광 데이터랩 공식 다운로드 · 제주특별자치도_제주시/관광소비/2026_01_06.zip</w:t>
      </w:r>
    </w:p>
    <w:p>
      <w:pPr>
        <w:spacing w:before="0" w:after="40" w:line="293" w:lineRule="auto"/>
        <w:keepNext/>
        <w:snapToGrid w:val="0"/>
      </w:pPr>
      <w:r>
        <w:rPr>
          <w:rFonts w:ascii="맑은 고딕" w:hAnsi="맑은 고딕" w:eastAsia="맑은 고딕"/>
          <w:b w:val="0"/>
          <w:color w:val="536477"/>
          <w:sz w:val="16"/>
        </w:rPr>
        <w:t>nationwide_dataset · datalab:95122c38b4fc:522e2d839300</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12  한국관광 데이터랩 공식 다운로드 · 제주특별자치도_제주시/방문자/2025_01_12.zip</w:t>
      </w:r>
    </w:p>
    <w:p>
      <w:pPr>
        <w:spacing w:before="0" w:after="40" w:line="293" w:lineRule="auto"/>
        <w:keepNext/>
        <w:snapToGrid w:val="0"/>
      </w:pPr>
      <w:r>
        <w:rPr>
          <w:rFonts w:ascii="맑은 고딕" w:hAnsi="맑은 고딕" w:eastAsia="맑은 고딕"/>
          <w:b w:val="0"/>
          <w:color w:val="536477"/>
          <w:sz w:val="16"/>
        </w:rPr>
        <w:t>nationwide_dataset · datalab:d73227708014:f4517115deb9</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13  한국관광 데이터랩 공식 다운로드 · 제주특별자치도_제주시/관광소비/2025_01_12.zip</w:t>
      </w:r>
    </w:p>
    <w:p>
      <w:pPr>
        <w:spacing w:before="0" w:after="40" w:line="293" w:lineRule="auto"/>
        <w:keepNext/>
        <w:snapToGrid w:val="0"/>
      </w:pPr>
      <w:r>
        <w:rPr>
          <w:rFonts w:ascii="맑은 고딕" w:hAnsi="맑은 고딕" w:eastAsia="맑은 고딕"/>
          <w:b w:val="0"/>
          <w:color w:val="536477"/>
          <w:sz w:val="16"/>
        </w:rPr>
        <w:t>nationwide_dataset · datalab:f07ad8a73d99:ed1b998de1b3</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14  한국관광 데이터랩 전국 빅데이터 다운로드 · 이동통신/내국인/지역별 방문자수/20260820140607__202601-202606_데이터랩_다운로드.zip</w:t>
      </w:r>
    </w:p>
    <w:p>
      <w:pPr>
        <w:spacing w:before="0" w:after="40" w:line="293" w:lineRule="auto"/>
        <w:keepNext/>
        <w:snapToGrid w:val="0"/>
      </w:pPr>
      <w:r>
        <w:rPr>
          <w:rFonts w:ascii="맑은 고딕" w:hAnsi="맑은 고딕" w:eastAsia="맑은 고딕"/>
          <w:b w:val="0"/>
          <w:color w:val="536477"/>
          <w:sz w:val="16"/>
        </w:rPr>
        <w:t>nationwide_bigdata_dataset · team-bigdata:23ea68053684:6bfbcf8aabf6</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15  한국관광 데이터랩 전국 빅데이터 다운로드 · 이동통신/외국인/20260820141710_전국_202601-202606_데이터랩_다운로드.zip</w:t>
      </w:r>
    </w:p>
    <w:p>
      <w:pPr>
        <w:spacing w:before="0" w:after="40" w:line="293" w:lineRule="auto"/>
        <w:keepNext/>
        <w:snapToGrid w:val="0"/>
      </w:pPr>
      <w:r>
        <w:rPr>
          <w:rFonts w:ascii="맑은 고딕" w:hAnsi="맑은 고딕" w:eastAsia="맑은 고딕"/>
          <w:b w:val="0"/>
          <w:color w:val="536477"/>
          <w:sz w:val="16"/>
        </w:rPr>
        <w:t>nationwide_bigdata_dataset · team-bigdata:98d4ae590d9a:3be52dd54323</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16  한국관광 데이터랩 전국 빅데이터 다운로드 · 신용카드/내국인/지역별 관광지출액/20260820140046__202601-202606_데이터랩_다운로드.zip</w:t>
      </w:r>
    </w:p>
    <w:p>
      <w:pPr>
        <w:spacing w:before="0" w:after="40" w:line="293" w:lineRule="auto"/>
        <w:keepNext/>
        <w:snapToGrid w:val="0"/>
      </w:pPr>
      <w:r>
        <w:rPr>
          <w:rFonts w:ascii="맑은 고딕" w:hAnsi="맑은 고딕" w:eastAsia="맑은 고딕"/>
          <w:b w:val="0"/>
          <w:color w:val="536477"/>
          <w:sz w:val="16"/>
        </w:rPr>
        <w:t>nationwide_bigdata_dataset · team-bigdata:367cd0294ec4:873930d645e5</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17  한국관광 데이터랩 전국 빅데이터 다운로드 · 신용카드/외국인/지역별 관광지출액/20260820140355__202601-202606_데이터랩_다운로드.zip</w:t>
      </w:r>
    </w:p>
    <w:p>
      <w:pPr>
        <w:spacing w:before="0" w:after="40" w:line="293" w:lineRule="auto"/>
        <w:keepNext/>
        <w:snapToGrid w:val="0"/>
      </w:pPr>
      <w:r>
        <w:rPr>
          <w:rFonts w:ascii="맑은 고딕" w:hAnsi="맑은 고딕" w:eastAsia="맑은 고딕"/>
          <w:b w:val="0"/>
          <w:color w:val="536477"/>
          <w:sz w:val="16"/>
        </w:rPr>
        <w:t>nationwide_bigdata_dataset · team-bigdata:553a0dad4bb4:5a31355dffe8</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18  한국관광 데이터랩 전국 빅데이터 다운로드 · 네비게이션/지역별 검색건수/20260820195507__202601-202606_데이터랩_다운로드.zip</w:t>
      </w:r>
    </w:p>
    <w:p>
      <w:pPr>
        <w:spacing w:before="0" w:after="40" w:line="293" w:lineRule="auto"/>
        <w:keepNext/>
        <w:snapToGrid w:val="0"/>
      </w:pPr>
      <w:r>
        <w:rPr>
          <w:rFonts w:ascii="맑은 고딕" w:hAnsi="맑은 고딕" w:eastAsia="맑은 고딕"/>
          <w:b w:val="0"/>
          <w:color w:val="536477"/>
          <w:sz w:val="16"/>
        </w:rPr>
        <w:t>nationwide_bigdata_dataset · team-bigdata:a53dbe1c21df:77a052de41d5</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19  한국관광 데이터랩 전국 빅데이터 다운로드 · 이동통신/내국인/지역별 방문자수/20260820140614__202501-202512_데이터랩_다운로드.zip</w:t>
      </w:r>
    </w:p>
    <w:p>
      <w:pPr>
        <w:spacing w:before="0" w:after="40" w:line="293" w:lineRule="auto"/>
        <w:keepNext/>
        <w:snapToGrid w:val="0"/>
      </w:pPr>
      <w:r>
        <w:rPr>
          <w:rFonts w:ascii="맑은 고딕" w:hAnsi="맑은 고딕" w:eastAsia="맑은 고딕"/>
          <w:b w:val="0"/>
          <w:color w:val="536477"/>
          <w:sz w:val="16"/>
        </w:rPr>
        <w:t>nationwide_bigdata_dataset · team-bigdata:823a38d1d61c:5385261d02e5</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20  한국관광 데이터랩 전국 빅데이터 다운로드 · 이동통신/외국인/20260820141649_전국_202501-202512_데이터랩_다운로드.zip</w:t>
      </w:r>
    </w:p>
    <w:p>
      <w:pPr>
        <w:spacing w:before="0" w:after="40" w:line="293" w:lineRule="auto"/>
        <w:keepNext/>
        <w:snapToGrid w:val="0"/>
      </w:pPr>
      <w:r>
        <w:rPr>
          <w:rFonts w:ascii="맑은 고딕" w:hAnsi="맑은 고딕" w:eastAsia="맑은 고딕"/>
          <w:b w:val="0"/>
          <w:color w:val="536477"/>
          <w:sz w:val="16"/>
        </w:rPr>
        <w:t>nationwide_bigdata_dataset · team-bigdata:2723bdb0d589:1666a34058ed</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21  한국관광 데이터랩 전국 빅데이터 다운로드 · 신용카드/내국인/지역별 관광지출액/20260820135957__202501-202512_데이터랩_다운로드.zip</w:t>
      </w:r>
    </w:p>
    <w:p>
      <w:pPr>
        <w:spacing w:before="0" w:after="40" w:line="293" w:lineRule="auto"/>
        <w:keepNext/>
        <w:snapToGrid w:val="0"/>
      </w:pPr>
      <w:r>
        <w:rPr>
          <w:rFonts w:ascii="맑은 고딕" w:hAnsi="맑은 고딕" w:eastAsia="맑은 고딕"/>
          <w:b w:val="0"/>
          <w:color w:val="536477"/>
          <w:sz w:val="16"/>
        </w:rPr>
        <w:t>nationwide_bigdata_dataset · team-bigdata:83177a234971:c02cb7972e0f</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22  한국관광 데이터랩 전국 빅데이터 다운로드 · 신용카드/외국인/지역별 관광지출액/20260820140409__202501-202512_데이터랩_다운로드.zip</w:t>
      </w:r>
    </w:p>
    <w:p>
      <w:pPr>
        <w:spacing w:before="0" w:after="40" w:line="293" w:lineRule="auto"/>
        <w:keepNext/>
        <w:snapToGrid w:val="0"/>
      </w:pPr>
      <w:r>
        <w:rPr>
          <w:rFonts w:ascii="맑은 고딕" w:hAnsi="맑은 고딕" w:eastAsia="맑은 고딕"/>
          <w:b w:val="0"/>
          <w:color w:val="536477"/>
          <w:sz w:val="16"/>
        </w:rPr>
        <w:t>nationwide_bigdata_dataset · team-bigdata:58ded7732251:589c76395cbc</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23  한국관광 데이터랩 전국 빅데이터 다운로드 · 네비게이션/지역별 검색건수/20260820132007__202501-202512_데이터랩_다운로드.zip</w:t>
      </w:r>
    </w:p>
    <w:p>
      <w:pPr>
        <w:spacing w:before="0" w:after="40" w:line="293" w:lineRule="auto"/>
        <w:keepNext/>
        <w:snapToGrid w:val="0"/>
      </w:pPr>
      <w:r>
        <w:rPr>
          <w:rFonts w:ascii="맑은 고딕" w:hAnsi="맑은 고딕" w:eastAsia="맑은 고딕"/>
          <w:b w:val="0"/>
          <w:color w:val="536477"/>
          <w:sz w:val="16"/>
        </w:rPr>
        <w:t>nationwide_bigdata_dataset · team-bigdata:e28c947cb52f:bb4cb344a6ba</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24  한국관광 데이터랩 전국 빅데이터 다운로드 · 이동통신/내국인/지역별 방문자수/20260820140624__202401-202412_데이터랩_다운로드.zip</w:t>
      </w:r>
    </w:p>
    <w:p>
      <w:pPr>
        <w:spacing w:before="0" w:after="40" w:line="293" w:lineRule="auto"/>
        <w:keepNext/>
        <w:snapToGrid w:val="0"/>
      </w:pPr>
      <w:r>
        <w:rPr>
          <w:rFonts w:ascii="맑은 고딕" w:hAnsi="맑은 고딕" w:eastAsia="맑은 고딕"/>
          <w:b w:val="0"/>
          <w:color w:val="536477"/>
          <w:sz w:val="16"/>
        </w:rPr>
        <w:t>nationwide_bigdata_dataset · team-bigdata:8815bbb11a39:1a5988f5f8ec</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25  한국관광 데이터랩 전국 빅데이터 다운로드 · 이동통신/외국인/20260820141639_전국_202401-202412_데이터랩_다운로드.zip</w:t>
      </w:r>
    </w:p>
    <w:p>
      <w:pPr>
        <w:spacing w:before="0" w:after="40" w:line="293" w:lineRule="auto"/>
        <w:keepNext/>
        <w:snapToGrid w:val="0"/>
      </w:pPr>
      <w:r>
        <w:rPr>
          <w:rFonts w:ascii="맑은 고딕" w:hAnsi="맑은 고딕" w:eastAsia="맑은 고딕"/>
          <w:b w:val="0"/>
          <w:color w:val="536477"/>
          <w:sz w:val="16"/>
        </w:rPr>
        <w:t>nationwide_bigdata_dataset · team-bigdata:19fd67fbb73d:afa4f0f54a2f</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26  한국관광 데이터랩 지역별 관광 현황 · 제주특별자치도 제주시 · 유입유출</w:t>
      </w:r>
    </w:p>
    <w:p>
      <w:pPr>
        <w:spacing w:before="0" w:after="40" w:line="293" w:lineRule="auto"/>
        <w:keepNext/>
        <w:snapToGrid w:val="0"/>
      </w:pPr>
      <w:r>
        <w:rPr>
          <w:rFonts w:ascii="맑은 고딕" w:hAnsi="맑은 고딕" w:eastAsia="맑은 고딕"/>
          <w:b w:val="0"/>
          <w:color w:val="536477"/>
          <w:sz w:val="16"/>
        </w:rPr>
        <w:t>regional_tourism_status · regional-status:9ac27e83f27b:e998409010f6</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27  한국관광 데이터랩 지역별 관광 현황 · 제주특별자치도 제주시 · 인기관광지</w:t>
      </w:r>
    </w:p>
    <w:p>
      <w:pPr>
        <w:spacing w:before="0" w:after="40" w:line="293" w:lineRule="auto"/>
        <w:keepNext/>
        <w:snapToGrid w:val="0"/>
      </w:pPr>
      <w:r>
        <w:rPr>
          <w:rFonts w:ascii="맑은 고딕" w:hAnsi="맑은 고딕" w:eastAsia="맑은 고딕"/>
          <w:b w:val="0"/>
          <w:color w:val="536477"/>
          <w:sz w:val="16"/>
        </w:rPr>
        <w:t>regional_tourism_status · regional-status:daecd5ff8069:00c8b971be40</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28  한국관광 데이터랩 지역별 관광 현황 · 제주특별자치도 제주시 · 지역집중률</w:t>
      </w:r>
    </w:p>
    <w:p>
      <w:pPr>
        <w:spacing w:before="0" w:after="40" w:line="293" w:lineRule="auto"/>
        <w:keepNext/>
        <w:snapToGrid w:val="0"/>
      </w:pPr>
      <w:r>
        <w:rPr>
          <w:rFonts w:ascii="맑은 고딕" w:hAnsi="맑은 고딕" w:eastAsia="맑은 고딕"/>
          <w:b w:val="0"/>
          <w:color w:val="536477"/>
          <w:sz w:val="16"/>
        </w:rPr>
        <w:t>regional_tourism_status · regional-status:dd0eaa9c763f:3aadcdcac2c5</w:t>
      </w:r>
    </w:p>
    <w:p>
      <w:pPr>
        <w:spacing w:before="0" w:after="140" w:line="293" w:lineRule="auto"/>
        <w:snapToGrid w:val="0"/>
      </w:pPr>
      <w:r>
        <w:rPr>
          <w:rFonts w:ascii="맑은 고딕" w:hAnsi="맑은 고딕" w:eastAsia="맑은 고딕"/>
          <w:b w:val="0"/>
          <w:color w:val="0054A6"/>
          <w:sz w:val="16"/>
        </w:rPr>
        <w:t>https://datalab.visitkorea.or.kr/</w:t>
      </w:r>
    </w:p>
    <w:p>
      <w:pPr>
        <w:spacing w:before="0" w:after="40" w:line="293" w:lineRule="auto"/>
        <w:keepNext/>
        <w:snapToGrid w:val="0"/>
      </w:pPr>
      <w:r>
        <w:rPr>
          <w:rFonts w:ascii="맑은 고딕" w:hAnsi="맑은 고딕" w:eastAsia="맑은 고딕"/>
          <w:b/>
          <w:color w:val="263445"/>
          <w:sz w:val="18"/>
        </w:rPr>
        <w:t>29  지역 관광수요 ML 전망 · 공식 관측값 아님</w:t>
      </w:r>
    </w:p>
    <w:p>
      <w:pPr>
        <w:spacing w:before="0" w:after="40" w:line="293" w:lineRule="auto"/>
        <w:keepNext w:val="0"/>
        <w:snapToGrid w:val="0"/>
      </w:pPr>
      <w:r>
        <w:rPr>
          <w:rFonts w:ascii="맑은 고딕" w:hAnsi="맑은 고딕" w:eastAsia="맑은 고딕"/>
          <w:b w:val="0"/>
          <w:color w:val="536477"/>
          <w:sz w:val="16"/>
        </w:rPr>
        <w:t>model_forecast · ml:50110:regional-demand-v3.1:202606</w:t>
      </w:r>
    </w:p>
    <w:p>
      <w:pPr>
        <w:spacing w:before="0" w:after="40" w:line="293" w:lineRule="auto"/>
        <w:keepNext/>
        <w:snapToGrid w:val="0"/>
      </w:pPr>
      <w:r>
        <w:rPr>
          <w:rFonts w:ascii="맑은 고딕" w:hAnsi="맑은 고딕" w:eastAsia="맑은 고딕"/>
          <w:b/>
          <w:color w:val="263445"/>
          <w:sz w:val="18"/>
        </w:rPr>
        <w:t>30  가는곶 세화</w:t>
      </w:r>
    </w:p>
    <w:p>
      <w:pPr>
        <w:spacing w:before="0" w:after="40" w:line="293" w:lineRule="auto"/>
        <w:keepNext/>
        <w:snapToGrid w:val="0"/>
      </w:pPr>
      <w:r>
        <w:rPr>
          <w:rFonts w:ascii="맑은 고딕" w:hAnsi="맑은 고딕" w:eastAsia="맑은 고딕"/>
          <w:b w:val="0"/>
          <w:color w:val="536477"/>
          <w:sz w:val="16"/>
        </w:rPr>
        <w:t>open_api · tour-api:2850913</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31  가마오름</w:t>
      </w:r>
    </w:p>
    <w:p>
      <w:pPr>
        <w:spacing w:before="0" w:after="40" w:line="293" w:lineRule="auto"/>
        <w:keepNext/>
        <w:snapToGrid w:val="0"/>
      </w:pPr>
      <w:r>
        <w:rPr>
          <w:rFonts w:ascii="맑은 고딕" w:hAnsi="맑은 고딕" w:eastAsia="맑은 고딕"/>
          <w:b w:val="0"/>
          <w:color w:val="536477"/>
          <w:sz w:val="16"/>
        </w:rPr>
        <w:t>open_api · tour-api:1884191</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32  가새기오름</w:t>
      </w:r>
    </w:p>
    <w:p>
      <w:pPr>
        <w:spacing w:before="0" w:after="40" w:line="293" w:lineRule="auto"/>
        <w:keepNext/>
        <w:snapToGrid w:val="0"/>
      </w:pPr>
      <w:r>
        <w:rPr>
          <w:rFonts w:ascii="맑은 고딕" w:hAnsi="맑은 고딕" w:eastAsia="맑은 고딕"/>
          <w:b w:val="0"/>
          <w:color w:val="536477"/>
          <w:sz w:val="16"/>
        </w:rPr>
        <w:t>open_api · tour-api:1884521</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33  가시어멍김밥</w:t>
      </w:r>
    </w:p>
    <w:p>
      <w:pPr>
        <w:spacing w:before="0" w:after="40" w:line="293" w:lineRule="auto"/>
        <w:keepNext/>
        <w:snapToGrid w:val="0"/>
      </w:pPr>
      <w:r>
        <w:rPr>
          <w:rFonts w:ascii="맑은 고딕" w:hAnsi="맑은 고딕" w:eastAsia="맑은 고딕"/>
          <w:b w:val="0"/>
          <w:color w:val="536477"/>
          <w:sz w:val="16"/>
        </w:rPr>
        <w:t>open_api · tour-api:2837181</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34  갈치공장</w:t>
      </w:r>
    </w:p>
    <w:p>
      <w:pPr>
        <w:spacing w:before="0" w:after="40" w:line="293" w:lineRule="auto"/>
        <w:keepNext/>
        <w:snapToGrid w:val="0"/>
      </w:pPr>
      <w:r>
        <w:rPr>
          <w:rFonts w:ascii="맑은 고딕" w:hAnsi="맑은 고딕" w:eastAsia="맑은 고딕"/>
          <w:b w:val="0"/>
          <w:color w:val="536477"/>
          <w:sz w:val="16"/>
        </w:rPr>
        <w:t>open_api · tour-api:2853435</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35  개오리오름</w:t>
      </w:r>
    </w:p>
    <w:p>
      <w:pPr>
        <w:spacing w:before="0" w:after="40" w:line="293" w:lineRule="auto"/>
        <w:keepNext/>
        <w:snapToGrid w:val="0"/>
      </w:pPr>
      <w:r>
        <w:rPr>
          <w:rFonts w:ascii="맑은 고딕" w:hAnsi="맑은 고딕" w:eastAsia="맑은 고딕"/>
          <w:b w:val="0"/>
          <w:color w:val="536477"/>
          <w:sz w:val="16"/>
        </w:rPr>
        <w:t>open_api · tour-api:1889809</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36  거슨새미오름</w:t>
      </w:r>
    </w:p>
    <w:p>
      <w:pPr>
        <w:spacing w:before="0" w:after="40" w:line="293" w:lineRule="auto"/>
        <w:keepNext/>
        <w:snapToGrid w:val="0"/>
      </w:pPr>
      <w:r>
        <w:rPr>
          <w:rFonts w:ascii="맑은 고딕" w:hAnsi="맑은 고딕" w:eastAsia="맑은 고딕"/>
          <w:b w:val="0"/>
          <w:color w:val="536477"/>
          <w:sz w:val="16"/>
        </w:rPr>
        <w:t>open_api · tour-api:1918646</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37  경성수산</w:t>
      </w:r>
    </w:p>
    <w:p>
      <w:pPr>
        <w:spacing w:before="0" w:after="40" w:line="293" w:lineRule="auto"/>
        <w:keepNext/>
        <w:snapToGrid w:val="0"/>
      </w:pPr>
      <w:r>
        <w:rPr>
          <w:rFonts w:ascii="맑은 고딕" w:hAnsi="맑은 고딕" w:eastAsia="맑은 고딕"/>
          <w:b w:val="0"/>
          <w:color w:val="536477"/>
          <w:sz w:val="16"/>
        </w:rPr>
        <w:t>open_api · tour-api:2870515</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38  고내포구</w:t>
      </w:r>
    </w:p>
    <w:p>
      <w:pPr>
        <w:spacing w:before="0" w:after="40" w:line="293" w:lineRule="auto"/>
        <w:keepNext/>
        <w:snapToGrid w:val="0"/>
      </w:pPr>
      <w:r>
        <w:rPr>
          <w:rFonts w:ascii="맑은 고딕" w:hAnsi="맑은 고딕" w:eastAsia="맑은 고딕"/>
          <w:b w:val="0"/>
          <w:color w:val="536477"/>
          <w:sz w:val="16"/>
        </w:rPr>
        <w:t>open_api · tour-api:2791433</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39  고사리커피</w:t>
      </w:r>
    </w:p>
    <w:p>
      <w:pPr>
        <w:spacing w:before="0" w:after="40" w:line="293" w:lineRule="auto"/>
        <w:keepNext/>
        <w:snapToGrid w:val="0"/>
      </w:pPr>
      <w:r>
        <w:rPr>
          <w:rFonts w:ascii="맑은 고딕" w:hAnsi="맑은 고딕" w:eastAsia="맑은 고딕"/>
          <w:b w:val="0"/>
          <w:color w:val="536477"/>
          <w:sz w:val="16"/>
        </w:rPr>
        <w:t>open_api · tour-api:2863927</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40  고스트타운</w:t>
      </w:r>
    </w:p>
    <w:p>
      <w:pPr>
        <w:spacing w:before="0" w:after="40" w:line="293" w:lineRule="auto"/>
        <w:keepNext/>
        <w:snapToGrid w:val="0"/>
      </w:pPr>
      <w:r>
        <w:rPr>
          <w:rFonts w:ascii="맑은 고딕" w:hAnsi="맑은 고딕" w:eastAsia="맑은 고딕"/>
          <w:b w:val="0"/>
          <w:color w:val="536477"/>
          <w:sz w:val="16"/>
        </w:rPr>
        <w:t>open_api · tour-api:2759120</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41  고이정</w:t>
      </w:r>
    </w:p>
    <w:p>
      <w:pPr>
        <w:spacing w:before="0" w:after="40" w:line="293" w:lineRule="auto"/>
        <w:keepNext/>
        <w:snapToGrid w:val="0"/>
      </w:pPr>
      <w:r>
        <w:rPr>
          <w:rFonts w:ascii="맑은 고딕" w:hAnsi="맑은 고딕" w:eastAsia="맑은 고딕"/>
          <w:b w:val="0"/>
          <w:color w:val="536477"/>
          <w:sz w:val="16"/>
        </w:rPr>
        <w:t>open_api · tour-api:2759061</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42  고토커피바</w:t>
      </w:r>
    </w:p>
    <w:p>
      <w:pPr>
        <w:spacing w:before="0" w:after="40" w:line="293" w:lineRule="auto"/>
        <w:keepNext/>
        <w:snapToGrid w:val="0"/>
      </w:pPr>
      <w:r>
        <w:rPr>
          <w:rFonts w:ascii="맑은 고딕" w:hAnsi="맑은 고딕" w:eastAsia="맑은 고딕"/>
          <w:b w:val="0"/>
          <w:color w:val="536477"/>
          <w:sz w:val="16"/>
        </w:rPr>
        <w:t>open_api · tour-api:2863913</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43  골목식당</w:t>
      </w:r>
    </w:p>
    <w:p>
      <w:pPr>
        <w:spacing w:before="0" w:after="40" w:line="293" w:lineRule="auto"/>
        <w:keepNext/>
        <w:snapToGrid w:val="0"/>
      </w:pPr>
      <w:r>
        <w:rPr>
          <w:rFonts w:ascii="맑은 고딕" w:hAnsi="맑은 고딕" w:eastAsia="맑은 고딕"/>
          <w:b w:val="0"/>
          <w:color w:val="536477"/>
          <w:sz w:val="16"/>
        </w:rPr>
        <w:t>open_api · tour-api:2857289</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44  골목카페옥수</w:t>
      </w:r>
    </w:p>
    <w:p>
      <w:pPr>
        <w:spacing w:before="0" w:after="40" w:line="293" w:lineRule="auto"/>
        <w:keepNext/>
        <w:snapToGrid w:val="0"/>
      </w:pPr>
      <w:r>
        <w:rPr>
          <w:rFonts w:ascii="맑은 고딕" w:hAnsi="맑은 고딕" w:eastAsia="맑은 고딕"/>
          <w:b w:val="0"/>
          <w:color w:val="536477"/>
          <w:sz w:val="16"/>
        </w:rPr>
        <w:t>open_api · tour-api:2852311</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45  골체오름캠핑</w:t>
      </w:r>
    </w:p>
    <w:p>
      <w:pPr>
        <w:spacing w:before="0" w:after="40" w:line="293" w:lineRule="auto"/>
        <w:keepNext/>
        <w:snapToGrid w:val="0"/>
      </w:pPr>
      <w:r>
        <w:rPr>
          <w:rFonts w:ascii="맑은 고딕" w:hAnsi="맑은 고딕" w:eastAsia="맑은 고딕"/>
          <w:b w:val="0"/>
          <w:color w:val="536477"/>
          <w:sz w:val="16"/>
        </w:rPr>
        <w:t>open_api · tour-api:2739395</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46  곰막식당/곰막</w:t>
      </w:r>
    </w:p>
    <w:p>
      <w:pPr>
        <w:spacing w:before="0" w:after="40" w:line="293" w:lineRule="auto"/>
        <w:keepNext/>
        <w:snapToGrid w:val="0"/>
      </w:pPr>
      <w:r>
        <w:rPr>
          <w:rFonts w:ascii="맑은 고딕" w:hAnsi="맑은 고딕" w:eastAsia="맑은 고딕"/>
          <w:b w:val="0"/>
          <w:color w:val="536477"/>
          <w:sz w:val="16"/>
        </w:rPr>
        <w:t>open_api · tour-api:2759096</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47  곽지해수욕장</w:t>
      </w:r>
    </w:p>
    <w:p>
      <w:pPr>
        <w:spacing w:before="0" w:after="40" w:line="293" w:lineRule="auto"/>
        <w:keepNext/>
        <w:snapToGrid w:val="0"/>
      </w:pPr>
      <w:r>
        <w:rPr>
          <w:rFonts w:ascii="맑은 고딕" w:hAnsi="맑은 고딕" w:eastAsia="맑은 고딕"/>
          <w:b w:val="0"/>
          <w:color w:val="536477"/>
          <w:sz w:val="16"/>
        </w:rPr>
        <w:t>open_api · tour-api:127870</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48  괴오름</w:t>
      </w:r>
    </w:p>
    <w:p>
      <w:pPr>
        <w:spacing w:before="0" w:after="40" w:line="293" w:lineRule="auto"/>
        <w:keepNext/>
        <w:snapToGrid w:val="0"/>
      </w:pPr>
      <w:r>
        <w:rPr>
          <w:rFonts w:ascii="맑은 고딕" w:hAnsi="맑은 고딕" w:eastAsia="맑은 고딕"/>
          <w:b w:val="0"/>
          <w:color w:val="536477"/>
          <w:sz w:val="16"/>
        </w:rPr>
        <w:t>open_api · tour-api:1918950</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49  교래 삼다수마을</w:t>
      </w:r>
    </w:p>
    <w:p>
      <w:pPr>
        <w:spacing w:before="0" w:after="40" w:line="293" w:lineRule="auto"/>
        <w:keepNext/>
        <w:snapToGrid w:val="0"/>
      </w:pPr>
      <w:r>
        <w:rPr>
          <w:rFonts w:ascii="맑은 고딕" w:hAnsi="맑은 고딕" w:eastAsia="맑은 고딕"/>
          <w:b w:val="0"/>
          <w:color w:val="536477"/>
          <w:sz w:val="16"/>
        </w:rPr>
        <w:t>open_api · tour-api:128443</w:t>
      </w:r>
    </w:p>
    <w:p>
      <w:pPr>
        <w:spacing w:before="0" w:after="140" w:line="293" w:lineRule="auto"/>
        <w:snapToGrid w:val="0"/>
      </w:pPr>
      <w:r>
        <w:rPr>
          <w:rFonts w:ascii="맑은 고딕" w:hAnsi="맑은 고딕" w:eastAsia="맑은 고딕"/>
          <w:b w:val="0"/>
          <w:color w:val="0054A6"/>
          <w:sz w:val="16"/>
        </w:rPr>
        <w:t>https://apis.data.go.kr/B551011/KorService2</w:t>
      </w:r>
    </w:p>
    <w:p>
      <w:pPr>
        <w:spacing w:before="0" w:after="40" w:line="293" w:lineRule="auto"/>
        <w:keepNext/>
        <w:snapToGrid w:val="0"/>
      </w:pPr>
      <w:r>
        <w:rPr>
          <w:rFonts w:ascii="맑은 고딕" w:hAnsi="맑은 고딕" w:eastAsia="맑은 고딕"/>
          <w:b/>
          <w:color w:val="263445"/>
          <w:sz w:val="18"/>
        </w:rPr>
        <w:t>50  요즘, 한국관광 2호 - 지방공항 연계 지역관광 활성화 방안</w:t>
      </w:r>
    </w:p>
    <w:p>
      <w:pPr>
        <w:spacing w:before="0" w:after="40" w:line="293" w:lineRule="auto"/>
        <w:keepNext/>
        <w:snapToGrid w:val="0"/>
      </w:pPr>
      <w:r>
        <w:rPr>
          <w:rFonts w:ascii="맑은 고딕" w:hAnsi="맑은 고딕" w:eastAsia="맑은 고딕"/>
          <w:b w:val="0"/>
          <w:color w:val="536477"/>
          <w:sz w:val="16"/>
        </w:rPr>
        <w:t>rag · reference:kto:2026:local-airport · 페이지 PDF 44쪽, PDF 43쪽, PDF 36쪽, PDF 40쪽, PDF 41쪽, PDF 41쪽, PDF 44쪽, PDF 43쪽, PDF 43쪽 · 문서 구간 reference:kto:2026:local-airport:page:036:chunk:01, reference:kto:2026:local-airport:page:040:chunk:02, reference:kto:2026:local-airport:page:041:chunk:01, reference:kto:2026:local-airport:page:041:chunk:02, reference:kto:2026:local-airport:page:043:chunk:01, reference:kto:2026:local-airport:page:043:chunk:02, reference:kto:2026:local-airport:page:043:chunk:03, reference:kto:2026:local-airport:page:044:chunk:01, reference:kto:2026:local-airport:page:044:chunk:02</w:t>
      </w:r>
    </w:p>
    <w:p>
      <w:pPr>
        <w:spacing w:before="0" w:after="140" w:line="293" w:lineRule="auto"/>
        <w:snapToGrid w:val="0"/>
      </w:pPr>
      <w:r>
        <w:rPr>
          <w:rFonts w:ascii="맑은 고딕" w:hAnsi="맑은 고딕" w:eastAsia="맑은 고딕"/>
          <w:b w:val="0"/>
          <w:color w:val="0054A6"/>
          <w:sz w:val="16"/>
        </w:rPr>
        <w:t>https://datalab.visitkorea.or.kr/site/portal/ex/bbs/View.do?bcIdx=311068&amp;cbIdx=1135&amp;pageIndex=1</w:t>
      </w:r>
    </w:p>
    <w:p>
      <w:pPr>
        <w:spacing w:before="0" w:after="40" w:line="293" w:lineRule="auto"/>
        <w:keepNext/>
        <w:snapToGrid w:val="0"/>
      </w:pPr>
      <w:r>
        <w:rPr>
          <w:rFonts w:ascii="맑은 고딕" w:hAnsi="맑은 고딕" w:eastAsia="맑은 고딕"/>
          <w:b/>
          <w:color w:val="263445"/>
          <w:sz w:val="18"/>
        </w:rPr>
        <w:t>51  외국인 개별관광객 지방 방문 촉진 고토치 셔틀 운영자료</w:t>
      </w:r>
    </w:p>
    <w:p>
      <w:pPr>
        <w:spacing w:before="0" w:after="40" w:line="293" w:lineRule="auto"/>
        <w:keepNext/>
        <w:snapToGrid w:val="0"/>
      </w:pPr>
      <w:r>
        <w:rPr>
          <w:rFonts w:ascii="맑은 고딕" w:hAnsi="맑은 고딕" w:eastAsia="맑은 고딕"/>
          <w:b w:val="0"/>
          <w:color w:val="536477"/>
          <w:sz w:val="16"/>
        </w:rPr>
        <w:t>benchmark_case · case:199f928478e634</w:t>
      </w:r>
    </w:p>
    <w:p>
      <w:pPr>
        <w:spacing w:before="0" w:after="140" w:line="293" w:lineRule="auto"/>
        <w:snapToGrid w:val="0"/>
      </w:pPr>
      <w:r>
        <w:rPr>
          <w:rFonts w:ascii="맑은 고딕" w:hAnsi="맑은 고딕" w:eastAsia="맑은 고딕"/>
          <w:b w:val="0"/>
          <w:color w:val="0054A6"/>
          <w:sz w:val="16"/>
        </w:rPr>
        <w:t>https://kto.visitkorea.or.kr/upload/flexer/upload/ktobiz/20190417/ca99de85-60a6-11e9-9d6f-39c7f0d61b75.hwp.files/Sections1.html</w:t>
      </w:r>
    </w:p>
    <w:p>
      <w:pPr>
        <w:spacing w:before="0" w:after="40" w:line="293" w:lineRule="auto"/>
        <w:keepNext/>
        <w:snapToGrid w:val="0"/>
      </w:pPr>
      <w:r>
        <w:rPr>
          <w:rFonts w:ascii="맑은 고딕" w:hAnsi="맑은 고딕" w:eastAsia="맑은 고딕"/>
          <w:b/>
          <w:color w:val="263445"/>
          <w:sz w:val="18"/>
        </w:rPr>
        <w:t>52  한국관광 데이터랩 우수 활용사례(2025)—데이터 기반 강진 반값여행으로 지역 경제를 살리다</w:t>
      </w:r>
    </w:p>
    <w:p>
      <w:pPr>
        <w:spacing w:before="0" w:after="40" w:line="293" w:lineRule="auto"/>
        <w:keepNext/>
        <w:snapToGrid w:val="0"/>
      </w:pPr>
      <w:r>
        <w:rPr>
          <w:rFonts w:ascii="맑은 고딕" w:hAnsi="맑은 고딕" w:eastAsia="맑은 고딕"/>
          <w:b w:val="0"/>
          <w:color w:val="536477"/>
          <w:sz w:val="16"/>
        </w:rPr>
        <w:t>benchmark_case · case:761228c746fb13</w:t>
      </w:r>
    </w:p>
    <w:p>
      <w:pPr>
        <w:spacing w:before="0" w:after="140" w:line="293" w:lineRule="auto"/>
        <w:snapToGrid w:val="0"/>
      </w:pPr>
      <w:r>
        <w:rPr>
          <w:rFonts w:ascii="맑은 고딕" w:hAnsi="맑은 고딕" w:eastAsia="맑은 고딕"/>
          <w:b w:val="0"/>
          <w:color w:val="0054A6"/>
          <w:sz w:val="16"/>
        </w:rPr>
        <w:t>https://datalab.visitkorea.or.kr/html/interview5/interview01.jsp</w:t>
      </w:r>
    </w:p>
    <w:p>
      <w:pPr>
        <w:spacing w:before="0" w:after="40" w:line="293" w:lineRule="auto"/>
        <w:keepNext/>
        <w:snapToGrid w:val="0"/>
      </w:pPr>
      <w:r>
        <w:rPr>
          <w:rFonts w:ascii="맑은 고딕" w:hAnsi="맑은 고딕" w:eastAsia="맑은 고딕"/>
          <w:b/>
          <w:color w:val="263445"/>
          <w:sz w:val="18"/>
        </w:rPr>
        <w:t>53  서울달(SEOULDAL)—서울 정책 아카이브</w:t>
      </w:r>
    </w:p>
    <w:p>
      <w:pPr>
        <w:spacing w:before="0" w:after="40" w:line="293" w:lineRule="auto"/>
        <w:keepNext/>
        <w:snapToGrid w:val="0"/>
      </w:pPr>
      <w:r>
        <w:rPr>
          <w:rFonts w:ascii="맑은 고딕" w:hAnsi="맑은 고딕" w:eastAsia="맑은 고딕"/>
          <w:b w:val="0"/>
          <w:color w:val="536477"/>
          <w:sz w:val="16"/>
        </w:rPr>
        <w:t>benchmark_case · case:946857867790a6</w:t>
      </w:r>
    </w:p>
    <w:p>
      <w:pPr>
        <w:spacing w:before="0" w:after="140" w:line="293" w:lineRule="auto"/>
        <w:snapToGrid w:val="0"/>
      </w:pPr>
      <w:r>
        <w:rPr>
          <w:rFonts w:ascii="맑은 고딕" w:hAnsi="맑은 고딕" w:eastAsia="맑은 고딕"/>
          <w:b w:val="0"/>
          <w:color w:val="0054A6"/>
          <w:sz w:val="16"/>
        </w:rPr>
        <w:t>https://www.seoul.go.kr/policy/view.do?id=1022&amp;lan=</w:t>
      </w:r>
    </w:p>
    <w:p>
      <w:pPr>
        <w:spacing w:before="0" w:after="40" w:line="293" w:lineRule="auto"/>
        <w:keepNext/>
        <w:snapToGrid w:val="0"/>
      </w:pPr>
      <w:r>
        <w:rPr>
          <w:rFonts w:ascii="맑은 고딕" w:hAnsi="맑은 고딕" w:eastAsia="맑은 고딕"/>
          <w:b/>
          <w:color w:val="263445"/>
          <w:sz w:val="18"/>
        </w:rPr>
        <w:t>54  2024년 6월 여행가는 달 추진 보도자료</w:t>
      </w:r>
    </w:p>
    <w:p>
      <w:pPr>
        <w:spacing w:before="0" w:after="40" w:line="293" w:lineRule="auto"/>
        <w:keepNext/>
        <w:snapToGrid w:val="0"/>
      </w:pPr>
      <w:r>
        <w:rPr>
          <w:rFonts w:ascii="맑은 고딕" w:hAnsi="맑은 고딕" w:eastAsia="맑은 고딕"/>
          <w:b w:val="0"/>
          <w:color w:val="536477"/>
          <w:sz w:val="16"/>
        </w:rPr>
        <w:t>benchmark_case · case:digital_tourism_resident_2024</w:t>
      </w:r>
    </w:p>
    <w:p>
      <w:pPr>
        <w:spacing w:before="0" w:after="140" w:line="293" w:lineRule="auto"/>
        <w:snapToGrid w:val="0"/>
      </w:pPr>
      <w:r>
        <w:rPr>
          <w:rFonts w:ascii="맑은 고딕" w:hAnsi="맑은 고딕" w:eastAsia="맑은 고딕"/>
          <w:b w:val="0"/>
          <w:color w:val="0054A6"/>
          <w:sz w:val="16"/>
        </w:rPr>
        <w:t>https://mcst.go.kr/servlets/eduport/front/upload/UplDownloadFile?pFileName=%280514%29%EB%AC%B8%EC%B2%B4%EB%B6%80%EB%B3%B4%EB%8F%84%EC%9E%90%EB%A3%8C-6%EC%9B%94_%EC%97%AC%ED%96%89%EA%B0%80%EB%8A%94_%EB%8B%AC_%EC%B6%94%EC%A7%84.pdf&amp;pPath=0302000000&amp;pRealName=20240514083202149235802932_PRESS20240514083202456506.pdf</w:t>
      </w:r>
    </w:p>
    <w:p>
      <w:pPr>
        <w:spacing w:before="0" w:after="40" w:line="293" w:lineRule="auto"/>
        <w:keepNext/>
        <w:snapToGrid w:val="0"/>
      </w:pPr>
      <w:r>
        <w:rPr>
          <w:rFonts w:ascii="맑은 고딕" w:hAnsi="맑은 고딕" w:eastAsia="맑은 고딕"/>
          <w:b/>
          <w:color w:val="263445"/>
          <w:sz w:val="18"/>
        </w:rPr>
        <w:t>55  2022 대한민국 숙박대전 경제파급효과 공개자료</w:t>
      </w:r>
    </w:p>
    <w:p>
      <w:pPr>
        <w:spacing w:before="0" w:after="40" w:line="293" w:lineRule="auto"/>
        <w:keepNext/>
        <w:snapToGrid w:val="0"/>
      </w:pPr>
      <w:r>
        <w:rPr>
          <w:rFonts w:ascii="맑은 고딕" w:hAnsi="맑은 고딕" w:eastAsia="맑은 고딕"/>
          <w:b w:val="0"/>
          <w:color w:val="536477"/>
          <w:sz w:val="16"/>
        </w:rPr>
        <w:t>benchmark_case · case:kto_stay_discount_2022</w:t>
      </w:r>
    </w:p>
    <w:p>
      <w:pPr>
        <w:spacing w:before="0" w:after="140" w:line="293" w:lineRule="auto"/>
        <w:snapToGrid w:val="0"/>
      </w:pPr>
      <w:r>
        <w:rPr>
          <w:rFonts w:ascii="맑은 고딕" w:hAnsi="맑은 고딕" w:eastAsia="맑은 고딕"/>
          <w:b w:val="0"/>
          <w:color w:val="0054A6"/>
          <w:sz w:val="16"/>
        </w:rPr>
        <w:t>https://kto.visitkorea.or.kr/upload/flexer/upload/ktobiz/20220928/b623b5f9-3ec0-11ed-9832-ddf31964842e.hwp.files/Sections1.html</w:t>
      </w:r>
    </w:p>
    <w:p>
      <w:pPr>
        <w:spacing w:before="0" w:after="40" w:line="293" w:lineRule="auto"/>
        <w:keepNext/>
        <w:snapToGrid w:val="0"/>
      </w:pPr>
      <w:r>
        <w:rPr>
          <w:rFonts w:ascii="맑은 고딕" w:hAnsi="맑은 고딕" w:eastAsia="맑은 고딕"/>
          <w:b/>
          <w:color w:val="263445"/>
          <w:sz w:val="18"/>
        </w:rPr>
        <w:t>56  야간관광 특화도시 인천, 5만원 할인 숙박상품 기획전 열어</w:t>
      </w:r>
    </w:p>
    <w:p>
      <w:pPr>
        <w:spacing w:before="0" w:after="40" w:line="293" w:lineRule="auto"/>
        <w:keepNext/>
        <w:snapToGrid w:val="0"/>
      </w:pPr>
      <w:r>
        <w:rPr>
          <w:rFonts w:ascii="맑은 고딕" w:hAnsi="맑은 고딕" w:eastAsia="맑은 고딕"/>
          <w:b w:val="0"/>
          <w:color w:val="536477"/>
          <w:sz w:val="16"/>
        </w:rPr>
        <w:t>benchmark_case · case:a40729ff2a147d</w:t>
      </w:r>
    </w:p>
    <w:p>
      <w:pPr>
        <w:spacing w:before="0" w:after="140" w:line="293" w:lineRule="auto"/>
        <w:snapToGrid w:val="0"/>
      </w:pPr>
      <w:r>
        <w:rPr>
          <w:rFonts w:ascii="맑은 고딕" w:hAnsi="맑은 고딕" w:eastAsia="맑은 고딕"/>
          <w:b w:val="0"/>
          <w:color w:val="0054A6"/>
          <w:sz w:val="16"/>
        </w:rPr>
        <w:t>https://www.incheon.go.kr/IC010205/view?curPage=688&amp;repSeq=DOM_0000000007400989</w:t>
      </w:r>
    </w:p>
    <w:p>
      <w:pPr>
        <w:spacing w:before="0" w:after="40" w:line="293" w:lineRule="auto"/>
        <w:keepNext/>
        <w:snapToGrid w:val="0"/>
      </w:pPr>
      <w:r>
        <w:rPr>
          <w:rFonts w:ascii="맑은 고딕" w:hAnsi="맑은 고딕" w:eastAsia="맑은 고딕"/>
          <w:b/>
          <w:color w:val="263445"/>
          <w:sz w:val="18"/>
        </w:rPr>
        <w:t>57  강진 반값여행 지역경제 효과 소개</w:t>
      </w:r>
    </w:p>
    <w:p>
      <w:pPr>
        <w:spacing w:before="0" w:after="40" w:line="293" w:lineRule="auto"/>
        <w:keepNext/>
        <w:snapToGrid w:val="0"/>
      </w:pPr>
      <w:r>
        <w:rPr>
          <w:rFonts w:ascii="맑은 고딕" w:hAnsi="맑은 고딕" w:eastAsia="맑은 고딕"/>
          <w:b w:val="0"/>
          <w:color w:val="536477"/>
          <w:sz w:val="16"/>
        </w:rPr>
        <w:t>benchmark_case · case:gangjin_half_price_2024</w:t>
      </w:r>
    </w:p>
    <w:p>
      <w:pPr>
        <w:spacing w:before="0" w:after="140" w:line="293" w:lineRule="auto"/>
        <w:snapToGrid w:val="0"/>
      </w:pPr>
      <w:r>
        <w:rPr>
          <w:rFonts w:ascii="맑은 고딕" w:hAnsi="맑은 고딕" w:eastAsia="맑은 고딕"/>
          <w:b w:val="0"/>
          <w:color w:val="0054A6"/>
          <w:sz w:val="16"/>
        </w:rPr>
        <w:t>https://jnfarm.jeonnam.go.kr/board/FARM_BOARD_008/boardView.do?bdId=BD_00000000000011721&amp;menuCd=farm004002</w:t>
      </w:r>
    </w:p>
    <w:p>
      <w:pPr>
        <w:spacing w:before="0" w:after="40" w:line="293" w:lineRule="auto"/>
        <w:keepNext/>
        <w:snapToGrid w:val="0"/>
      </w:pPr>
      <w:r>
        <w:rPr>
          <w:rFonts w:ascii="맑은 고딕" w:hAnsi="맑은 고딕" w:eastAsia="맑은 고딕"/>
          <w:b/>
          <w:color w:val="263445"/>
          <w:sz w:val="18"/>
        </w:rPr>
        <w:t>58  2025 대한민국 밤밤페스타 개최 도시 및 일정</w:t>
      </w:r>
    </w:p>
    <w:p>
      <w:pPr>
        <w:spacing w:before="0" w:after="40" w:line="293" w:lineRule="auto"/>
        <w:keepNext/>
        <w:snapToGrid w:val="0"/>
      </w:pPr>
      <w:r>
        <w:rPr>
          <w:rFonts w:ascii="맑은 고딕" w:hAnsi="맑은 고딕" w:eastAsia="맑은 고딕"/>
          <w:b w:val="0"/>
          <w:color w:val="536477"/>
          <w:sz w:val="16"/>
        </w:rPr>
        <w:t>benchmark_case · case:night_festival_2025</w:t>
      </w:r>
    </w:p>
    <w:p>
      <w:pPr>
        <w:spacing w:before="0" w:after="140" w:line="293" w:lineRule="auto"/>
        <w:snapToGrid w:val="0"/>
      </w:pPr>
      <w:r>
        <w:rPr>
          <w:rFonts w:ascii="맑은 고딕" w:hAnsi="맑은 고딕" w:eastAsia="맑은 고딕"/>
          <w:b w:val="0"/>
          <w:color w:val="0054A6"/>
          <w:sz w:val="16"/>
        </w:rPr>
        <w:t>https://korean.visitkorea.or.kr/detail/rem_detail.do?cotid=f9c636b2-dd7c-4f09-af3d-6af43b33d371</w:t>
      </w:r>
    </w:p>
    <w:sectPr w:rsidR="00FC693F" w:rsidRPr="0006063C" w:rsidSect="00034616">
      <w:headerReference w:type="default" r:id="rId9"/>
      <w:footerReference w:type="default" r:id="rId10"/>
      <w:pgSz w:w="11906" w:h="16838"/>
      <w:pgMar w:top="1077" w:right="1134" w:bottom="1020"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OLIGO-K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477"/>
        <w:sz w:val="16"/>
      </w:rPr>
      <w:t>제주특별자치도 제주시  |  관광 전략기획안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