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algun Gothic" w:hAnsi="Malgun Gothic" w:eastAsia="맑은 고딕"/>
          <w:b/>
          <w:color w:val="203C60"/>
          <w:sz w:val="44"/>
        </w:rPr>
        <w:t>강원특별자치도 원주시 관광 기획안</w:t>
      </w:r>
    </w:p>
    <w:p>
      <w:pPr>
        <w:spacing w:after="240"/>
      </w:pPr>
      <w:r>
        <w:rPr>
          <w:rFonts w:ascii="Malgun Gothic" w:hAnsi="Malgun Gothic" w:eastAsia="맑은 고딕"/>
          <w:color w:val="6F8195"/>
          <w:sz w:val="19"/>
        </w:rPr>
        <w:t>관광사업 아이디어 제안 · 목표와 견적은 조정 가능</w:t>
        <w:br/>
        <w:t>분석 기간 2025-07 ~ 2026-06 | 관광데이터랩 원자료와 공식 관광자료 기반</w:t>
      </w:r>
    </w:p>
    <w:p>
      <w:pPr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1. 핵심 제안</w:t>
      </w:r>
    </w:p>
    <w:p>
      <w:r>
        <w:rPr>
          <w:rFonts w:ascii="Malgun Gothic" w:hAnsi="Malgun Gothic" w:eastAsia="맑은 고딕"/>
          <w:color w:val="6F8195"/>
          <w:sz w:val="18"/>
        </w:rPr>
        <w:t>사용자 입력 조건 | 예산 미정 · 일정 미정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21"/>
              </w:rPr>
              <w:t>원주시의 외지인 방문자 감소와 낮은 숙박 비율을 개선하기 위해, 지역 내 소비를 유도하는 '반값여행' 환급 프로그램을 제안합니다. 강진군의 사례를 참고하여 여행객의 지출 일부를 지역상품권으로 환급함으로써 지역 상권의 재결제를 이끌어내는 것이 핵심입니다.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2. 최신 현황과 월간 변화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관측 지표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최근 값 및 해석</w:t>
            </w:r>
          </w:p>
        </w:tc>
      </w:tr>
      <w:tr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월간 순 방문자 수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2,285,734명 | 2026년 6월 기준, 전년 동월 대비 -2.7% 감소하며 외지인 유입이 정체된 양상을 보임</w:t>
            </w:r>
          </w:p>
        </w:tc>
      </w:tr>
      <w:tr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외지인 숙박 방문 비율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12.5% | 방문객 중 숙박객 비중이 낮아 체류형 관광으로의 전환이 필요한 상황임</w:t>
            </w:r>
          </w:p>
        </w:tc>
      </w:tr>
      <w:tr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관광소비 구성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식음료업(29.8%), 쇼핑업(26.0%), 운송업(25.3%) | 식음료와 쇼핑 비중이 높으므로, 이 분야의 결제를 지역상품권 환급과 연계할 시 효과적일 것으로 판단됨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897880" cy="2048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4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맑은 고딕"/>
          <w:color w:val="6F8195"/>
          <w:sz w:val="17"/>
        </w:rPr>
        <w:t>그림 1. 월간 순 방문자 수와 외지인 관광소비액 추이</w:t>
      </w:r>
    </w:p>
    <w:p>
      <w:pPr>
        <w:pageBreakBefore/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3. 문제 / 제안과 판단 근거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문제 / 제안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외지인 방문자 수 감소 및 지역 내 소비 유도 부족</w:t>
            </w:r>
          </w:p>
        </w:tc>
      </w:tr>
      <w:t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이렇게 판단한 이유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강진군의 지역환급 방식(case:gangjin_half_price_2024)을 벤치마킹하여 지역 내 결제 순환에 집중하는 모델을 채택함. 이는 인천의 플랫폼 중심 방식(case:4625625dcbf2ae)보다 초기 구축 비용 부담이 적고 즉각적인 소비 유도에 유리함.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4. 해결 방법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실행 방향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원주시 내 지정된 관광·식음·숙박 가맹점에서 일정 금액 이상 결제한 외지인에게 결제액의 일부를 원주사랑상품권으로 환급하여 지역 내 재소비를 유도함.</w:t>
            </w:r>
          </w:p>
        </w:tc>
      </w:tr>
      <w:t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8"/>
              </w:rPr>
              <w:t>예상 견적</w:t>
            </w:r>
          </w:p>
        </w:tc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총 82,500,000원. 항목별 임시 견적은 뒤의 견적표를 참조하세요. 실제 금액과 다를 수 있습니다.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5. 집행 방법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2520"/>
        <w:gridCol w:w="2520"/>
        <w:gridCol w:w="252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순서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기간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실행 작업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완료 산출물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E74B5"/>
                <w:sz w:val="17"/>
              </w:rPr>
              <w:t>1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2026-09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관광과 담당자가 참여 업체 명단을 확보하고 환급 운영 지침(안)을 작성함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참여 업체 명단 및 환급 운영 지침서(안)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E74B5"/>
                <w:sz w:val="17"/>
              </w:rPr>
              <w:t>2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2026-09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회계 담당자가 결제 증빙 및 중복 수혜 방지를 위한 가이드라인을 확정함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결제 증빙 및 중복 수혜 방지 가이드라인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E74B5"/>
                <w:sz w:val="17"/>
              </w:rPr>
              <w:t>3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2026-10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홍보 담당자가 주요 관광지 연계 홍보물을 배포하고 운영 현황을 기록함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주요 관광지 연계 홍보물 및 운영 현황 보고서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E74B5"/>
                <w:sz w:val="17"/>
              </w:rPr>
              <w:t>4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2026-10 ~ 2026-11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운영 담당자가 주간 단위로 환급 신청·승인·결제 원장을 수집·검증함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주간 단위 환급 신청·승인·결제 원장</w:t>
            </w:r>
          </w:p>
        </w:tc>
      </w:tr>
      <w:tr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E74B5"/>
                <w:sz w:val="17"/>
              </w:rPr>
              <w:t>5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2026-11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기획 담당자가 수집된 원장을 바탕으로 최종 성과 평가 보고서를 작성함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최종 성과 평가 보고서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897880" cy="1713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1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맑은 고딕"/>
          <w:color w:val="6F8195"/>
          <w:sz w:val="16"/>
        </w:rPr>
        <w:t>그림 2. 5단계 실행 일정과 단계별 결과물</w:t>
      </w:r>
    </w:p>
    <w:p>
      <w:pPr>
        <w:pageBreakBefore/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6. ML 자연추세와 사업 목표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60"/>
        <w:gridCol w:w="3360"/>
        <w:gridCol w:w="336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ML 자연추세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계획 목표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7"/>
              </w:rPr>
              <w:t>추가로 필요한 수준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2026.11</w:t>
              <w:br/>
              <w:t>방문 2,632,315명</w:t>
              <w:br/>
              <w:t>소비 ₩899억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7"/>
              </w:rPr>
              <w:t>방문 2,763,931명 (+5%)</w:t>
              <w:br/>
              <w:t>소비 ₩944억 (+5%)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E74B5"/>
                <w:sz w:val="17"/>
              </w:rPr>
              <w:t>방문 131,616명</w:t>
              <w:br/>
              <w:t>소비 ₩45억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897880" cy="28455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45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맑은 고딕"/>
          <w:color w:val="6F8195"/>
          <w:sz w:val="16"/>
        </w:rPr>
        <w:t>그림 3. 저장 ML 모델의 월별 자연추세와 계획 목표</w:t>
      </w:r>
    </w:p>
    <w:p>
      <w:pPr>
        <w:jc w:val="center"/>
      </w:pPr>
      <w:r>
        <w:rPr>
          <w:rFonts w:ascii="Malgun Gothic" w:hAnsi="Malgun Gothic" w:eastAsia="맑은 고딕"/>
          <w:color w:val="6F8195"/>
          <w:sz w:val="16"/>
        </w:rPr>
        <w:t>자연추세는 과거 이력 기반 전망이며, 사업의 인과효과나 추가 매출 예측이 아닙니다. 3개월 초과 예측 거리는 재귀 검증 범위 밖의 탐색 전망입니다.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기대할 수 있는 변화 · ML 전망상 2026년 11월 소비액은 전년 대비 41.26% 증가할 것으로 보이나, 이는 탐색적 추세일 뿐임. 본 사업은 이 추세와 별개로 '지역 내 재결제'를 통한 추가적인 소비 순증을 목표로 함.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목표 KPI의 사례 근거와 설정 기준</w:t>
      </w:r>
    </w:p>
    <w:p>
      <w:r>
        <w:t>강진군의회 2024-11-20 시정연설: 10월 말 관광객 약 248만 명, 전년 대비 25% 증가. 전년 규모 역산: 248만÷1.25≈198.4만 명, 차이≈49.6만 명. 역산값은 별도 관측 원자료가 아니다. 반값여행과 축제의 동시기 실적이며 사업 단독 효과·ML 대비 증가율은 아니다. 원주는 초기 시범으로 최종월 방문 +5%를 제안한다(발표 증가율의 1/5를 선택한 기획 판단). 소비 +5%는 별도 계획 가정이며 강진 소비 전후 실적으로 계산한 값이 아니다.</w:t>
      </w:r>
    </w:p>
    <w:p>
      <w:r>
        <w:t>https://clik.nanet.go.kr/minutes/viewer.do?DOCID=CLIKC3524169218564260&amp;collection=minutes</w:t>
      </w:r>
    </w:p>
    <w:p>
      <w:pPr>
        <w:pageBreakBefore/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예상 견적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60"/>
        <w:gridCol w:w="3360"/>
        <w:gridCol w:w="33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9"/>
              </w:rPr>
              <w:t>항목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9"/>
              </w:rPr>
              <w:t>수량·단가 가정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9"/>
              </w:rPr>
              <w:t>예상 금액</w:t>
            </w:r>
          </w:p>
        </w:tc>
      </w:tr>
      <w:tr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여행비 환급 지원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1,000건 × 50,000원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50,000,000원</w:t>
            </w:r>
          </w:p>
        </w:tc>
      </w:tr>
      <w:tr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현장 운영·정산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60인일 × 150,000원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9,000,000원</w:t>
            </w:r>
          </w:p>
        </w:tc>
      </w:tr>
      <w:tr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신청·증빙 시스템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기존 시스템 설정 1식 × 800만원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8,000,000원</w:t>
            </w:r>
          </w:p>
        </w:tc>
      </w:tr>
      <w:tr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홍보·참여처 안내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콘텐츠·안내물 1식 × 500만원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5,000,000원</w:t>
            </w:r>
          </w:p>
        </w:tc>
      </w:tr>
      <w:tr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성과 집계·검토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자료 정리·평가 1식 × 300만원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3,000,000원</w:t>
            </w:r>
          </w:p>
        </w:tc>
      </w:tr>
      <w:tr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예비비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직접비 7,500만원 × 10%</w:t>
            </w:r>
          </w:p>
        </w:tc>
        <w:tc>
          <w:tcPr>
            <w:tcW w:type="dxa" w:w="336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8"/>
              </w:rPr>
              <w:t>7,500,000원</w:t>
            </w:r>
          </w:p>
        </w:tc>
      </w:tr>
    </w:tbl>
    <w:p>
      <w:r>
        <w:t>예상 총액 82,500,000원. 수량·단가를 가정한 참고 견적으로 실제 금액과 다를 수 있습니다.</w:t>
      </w:r>
    </w:p>
    <w:p>
      <w:pPr>
        <w:spacing w:before="280" w:after="120"/>
      </w:pPr>
      <w:r>
        <w:rPr>
          <w:rFonts w:ascii="Malgun Gothic" w:hAnsi="Malgun Gothic" w:eastAsia="맑은 고딕"/>
          <w:b/>
          <w:color w:val="2E74B5"/>
          <w:sz w:val="28"/>
        </w:rPr>
        <w:t>7. 참고한 공식 사례·데이터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6"/>
              </w:rPr>
              <w:t>공식 사례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shd w:fill="EAF8F8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6"/>
              </w:rPr>
              <w:t>전략에 참고한 내용</w:t>
            </w:r>
          </w:p>
        </w:tc>
      </w:tr>
      <w:tr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5"/>
              </w:rPr>
              <w:t>전주시 2026년도 관광산업과 세출예산 사업명세서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5"/>
              </w:rPr>
              <w:t>전북특별자치도 전주시 · 야간관광 특화도시 예산 편성 · 예산서이므로 방문·소비 성과는 확인되지 않음</w:t>
            </w:r>
          </w:p>
        </w:tc>
      </w:tr>
      <w:tr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5"/>
              </w:rPr>
              <w:t>(기획) 인천을 즐기는 가장 쉬운(easy) 방법 … 인천e지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5"/>
              </w:rPr>
              <w:t>인천광역시 · 스마트관광 플랫폼 ‘인천e지’의 추천·동선·스탬프·가맹점 쿠폰 통합 운영 · 2025년 9월 7일 기준 회원 10만 명, 누적 다운로드 29만 건이었다. 2025년 1~8월 프로모션 참여…</w:t>
            </w:r>
          </w:p>
        </w:tc>
      </w:tr>
      <w:tr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/>
                <w:color w:val="203C60"/>
                <w:sz w:val="15"/>
              </w:rPr>
              <w:t>2024년 6월 여행가는 달 추진 보도자료</w:t>
            </w:r>
          </w:p>
        </w:tc>
        <w:tc>
          <w:tcPr>
            <w:tcW w:type="dxa" w:w="5040"/>
          </w:tcPr>
          <w:p>
            <w:pPr>
              <w:spacing w:after="0" w:line="264" w:lineRule="auto"/>
            </w:pPr>
            <w:r>
              <w:rPr>
                <w:rFonts w:ascii="Malgun Gothic" w:hAnsi="Malgun Gothic" w:eastAsia="맑은 고딕"/>
                <w:b w:val="0"/>
                <w:color w:val="203C60"/>
                <w:sz w:val="15"/>
              </w:rPr>
              <w:t>전국 인구감소지역 34곳 · 디지털 관광주민증과 교통·숙박·상점 할인 결합 · 2024년 34개 지역 약 800개 관광업체에 혜택 구조를 적용</w:t>
            </w:r>
          </w:p>
        </w:tc>
      </w:tr>
    </w:tbl>
    <w:p>
      <w:pPr>
        <w:pStyle w:val="ListBullet"/>
        <w:spacing w:after="20"/>
        <w:ind w:left="216"/>
      </w:pPr>
      <w:r>
        <w:rPr>
          <w:rFonts w:ascii="Malgun Gothic" w:hAnsi="Malgun Gothic" w:eastAsia="맑은 고딕"/>
          <w:color w:val="6F8195"/>
          <w:sz w:val="16"/>
        </w:rPr>
        <w:t>관광데이터랩 · 한국관광 데이터랩 · 강원특별자치도 원주시 순 방문자 수 및 숙박 비율 (이동통신 기반 외지인)</w:t>
      </w:r>
    </w:p>
    <w:p>
      <w:pPr>
        <w:pStyle w:val="ListBullet"/>
        <w:spacing w:after="20"/>
        <w:ind w:left="216"/>
      </w:pPr>
      <w:r>
        <w:rPr>
          <w:rFonts w:ascii="Malgun Gothic" w:hAnsi="Malgun Gothic" w:eastAsia="맑은 고딕"/>
          <w:color w:val="6F8195"/>
          <w:sz w:val="16"/>
        </w:rPr>
        <w:t>관광데이터랩 · 한국관광 데이터랩 · 강원특별자치도 원주시 월간 순 방문자 수 (이동통신 기반 외지인)</w:t>
      </w:r>
    </w:p>
    <w:p>
      <w:pPr>
        <w:pStyle w:val="ListBullet"/>
        <w:spacing w:after="20"/>
        <w:ind w:left="216"/>
      </w:pPr>
      <w:r>
        <w:rPr>
          <w:rFonts w:ascii="Malgun Gothic" w:hAnsi="Malgun Gothic" w:eastAsia="맑은 고딕"/>
          <w:color w:val="6F8195"/>
          <w:sz w:val="16"/>
        </w:rPr>
        <w:t>관광데이터랩 · 한국관광 데이터랩 · 강원특별자치도 원주시 관광소비 추이_외지인</w:t>
      </w:r>
    </w:p>
    <w:p>
      <w:pPr>
        <w:pStyle w:val="ListBullet"/>
        <w:spacing w:after="20"/>
        <w:ind w:left="216"/>
      </w:pPr>
      <w:r>
        <w:rPr>
          <w:rFonts w:ascii="Malgun Gothic" w:hAnsi="Malgun Gothic" w:eastAsia="맑은 고딕"/>
          <w:color w:val="6F8195"/>
          <w:sz w:val="16"/>
        </w:rPr>
        <w:t>관광데이터랩 · 한국관광 데이터랩 · 강원특별자치도 원주시 숙박방문자 비율 추이 (이동통신 기반 외지인)</w:t>
      </w:r>
    </w:p>
    <w:p>
      <w:pPr>
        <w:pStyle w:val="ListBullet"/>
        <w:spacing w:after="20"/>
        <w:ind w:left="216"/>
      </w:pPr>
      <w:r>
        <w:rPr>
          <w:rFonts w:ascii="Malgun Gothic" w:hAnsi="Malgun Gothic" w:eastAsia="맑은 고딕"/>
          <w:color w:val="6F8195"/>
          <w:sz w:val="16"/>
        </w:rPr>
        <w:t>관광데이터랩 · 한국관광 데이터랩 · 강원특별자치도 원주시 평균 숙박일 (이동통신 기반 외지인)</w:t>
      </w:r>
    </w:p>
    <w:sectPr w:rsidR="00FC693F" w:rsidRPr="0006063C" w:rsidSect="00034616">
      <w:footerReference w:type="default" r:id="rId9"/>
      <w:pgSz w:w="12240" w:h="15840"/>
      <w:pgMar w:top="1037" w:right="1080" w:bottom="950" w:left="108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맑은 고딕"/>
        <w:color w:val="6F8195"/>
        <w:sz w:val="16"/>
      </w:rPr>
      <w:t>TOUR INSIGHT | 원자료 기반 AI 전략기획서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맑은 고딕"/>
      <w:color w:val="3D526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