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algun Gothic" w:hAnsi="Malgun Gothic" w:eastAsia="맑은 고딕"/>
          <w:b/>
          <w:color w:val="203C60"/>
          <w:sz w:val="44"/>
        </w:rPr>
        <w:t>인천광역시 계양구 관광 기획안</w:t>
      </w:r>
    </w:p>
    <w:p>
      <w:pPr>
        <w:spacing w:after="240"/>
      </w:pPr>
      <w:r>
        <w:rPr>
          <w:rFonts w:ascii="Malgun Gothic" w:hAnsi="Malgun Gothic" w:eastAsia="맑은 고딕"/>
          <w:color w:val="6F8195"/>
          <w:sz w:val="19"/>
        </w:rPr>
        <w:t>분석 기간 2025-07 ~ 2026-06 | 관광데이터랩 원자료와 공식 관광자료 기반</w:t>
      </w:r>
    </w:p>
    <w:p>
      <w:pPr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1. 핵심 제안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21"/>
              </w:rPr>
              <w:t>인천광역시 계양구는 2026-06 순 방문자 2,464,745명, 외지인 관광소비 39,833,318,000원 규모입니다. 방문을 식음료업·쇼핑업 소비와 체류로 연결하는 3~6개월 시범사업을 제안합니다.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2. 최신 현황과 월간 변화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관측 지표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최근 값 및 해석</w:t>
            </w:r>
          </w:p>
        </w:tc>
      </w:tr>
      <w:tr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월간 순 방문자 수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2,464,745명 | 선택 지역 공식 원자료의 최신 월 관측값입니다.</w:t>
            </w:r>
          </w:p>
        </w:tc>
      </w:tr>
      <w:tr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전년동월 외지인 방문자 증감률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2.7% | 선택 지역 공식 원자료의 최신 월 관측값입니다.</w:t>
            </w:r>
          </w:p>
        </w:tc>
      </w:tr>
      <w:tr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월간 외지인 관광소비 총액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39,833,318,000원 | 선택 지역 공식 원자료의 최신 월 관측값입니다.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897880" cy="2048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4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맑은 고딕"/>
          <w:color w:val="6F8195"/>
          <w:sz w:val="17"/>
        </w:rPr>
        <w:t>그림 1. 월간 순 방문자 수와 외지인 관광소비액 추이</w:t>
      </w:r>
    </w:p>
    <w:p>
      <w:pPr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3. 문제 / 제안과 판단 근거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문제 / 제안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최근 방문 규모만으로는 지역 안에서 충분한 소비와 체류가 이어졌다고 보기 어렵습니다. 숙박 방문 비율은 5.0%, 평균 숙박일수는 2.98일입니다.</w:t>
            </w:r>
          </w:p>
        </w:tc>
      </w:tr>
      <w:t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이렇게 판단한 이유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2026.04~2026.06 인천광역시 원본 보유 시군구 3곳 비교에서 방문자 수는 평균 대비 +1.6%, 관광소비액은 -18.3%, 숙박 방문 비율은 -8.9%p입니다.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4. 해결 방법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실행 방향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내비게이션 검색 104,260건을 출발 수요로 보고, 검색이 많은 지점과 식음료업·쇼핑업 참여 업소를 3~4시간 동선으로 연결합니다. 처음에는 한 개 코스만 운영하고 이용률과 결제 변화를 확인해 확대 여부를 결정합니다.</w:t>
            </w:r>
          </w:p>
        </w:tc>
      </w:tr>
      <w:t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예산 준비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안내 페이지, 홍보물, 참여 업소 운영 지원, 성과 측정 항목별로 수량을 정한 뒤 2개 이상 비교견적으로 산정합니다.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5. 집행 방법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2520"/>
        <w:gridCol w:w="2520"/>
        <w:gridCol w:w="252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순서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기간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실행 작업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완료 산출물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E74B5"/>
                <w:sz w:val="17"/>
              </w:rPr>
              <w:t>1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1~2주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최근 12개월 방문·소비·검색 자료에서 후보 권역 1곳 선정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후보 권역 선정표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E74B5"/>
                <w:sz w:val="17"/>
              </w:rPr>
              <w:t>2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3~4주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식음료업·쇼핑업 참여 업소와 관광 지점을 연결한 도보·대중교통 동선 설계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시범코스 지도와 참여 기준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E74B5"/>
                <w:sz w:val="17"/>
              </w:rPr>
              <w:t>3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2개월차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모바일 안내 페이지와 공통 혜택을 준비하고 참여 업소 운영 교육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안내 페이지와 운영 매뉴얼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E74B5"/>
                <w:sz w:val="17"/>
              </w:rPr>
              <w:t>4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3~4개월차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주말 중심으로 시범 운영하고 이용 건수·업종별 소비·체류 반응 기록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월간 운영 결과표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E74B5"/>
                <w:sz w:val="17"/>
              </w:rPr>
              <w:t>5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5~6개월차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운영 전후 같은 달 지표를 비교해 유지·수정·확대 결정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성과 비교표와 다음 운영안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897880" cy="1713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1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맑은 고딕"/>
          <w:color w:val="6F8195"/>
          <w:sz w:val="16"/>
        </w:rPr>
        <w:t>그림 2. 5단계 실행 일정과 단계별 결과물</w:t>
      </w:r>
    </w:p>
    <w:p>
      <w:pPr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6. 실행 목표 비교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60"/>
        <w:gridCol w:w="3360"/>
        <w:gridCol w:w="336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미실행 (최근 월)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실행 목표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추가 관광소비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방문 2,464,745명</w:t>
              <w:br/>
              <w:t>소비 ₩398억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방문 2,587,982명 (+5%)</w:t>
              <w:br/>
              <w:t>소비 ₩430억 (+8%)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E74B5"/>
                <w:sz w:val="20"/>
              </w:rPr>
              <w:t>₩32억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897880" cy="28455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45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맑은 고딕"/>
          <w:color w:val="6F8195"/>
          <w:sz w:val="16"/>
        </w:rPr>
        <w:t>그림 3. 최근 월부터 6개월간 미실행 유지선과 실행 목표선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기대할 수 있는 변화 · 방문자가 지역 안에서 이동하고 소비할 이유를 명확히 만들며, 실제 운영 결과를 바탕으로 확대 여부를 판단할 수 있습니다.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7. 사용한 데이터</w:t>
      </w:r>
    </w:p>
    <w:p>
      <w:pPr>
        <w:spacing w:after="20"/>
        <w:ind w:left="216"/>
      </w:pPr>
      <w:r>
        <w:rPr>
          <w:rFonts w:ascii="Malgun Gothic" w:hAnsi="Malgun Gothic" w:eastAsia="맑은 고딕"/>
          <w:color w:val="6F8195"/>
          <w:sz w:val="16"/>
        </w:rPr>
        <w:t>• 관광데이터랩 · 한국관광 데이터랩 · 인천광역시 계양구 순 방문자 수 및 숙박 비율 (이동통신 기반 외지인)</w:t>
      </w:r>
    </w:p>
    <w:p>
      <w:pPr>
        <w:spacing w:after="20"/>
        <w:ind w:left="216"/>
      </w:pPr>
      <w:r>
        <w:rPr>
          <w:rFonts w:ascii="Malgun Gothic" w:hAnsi="Malgun Gothic" w:eastAsia="맑은 고딕"/>
          <w:color w:val="6F8195"/>
          <w:sz w:val="16"/>
        </w:rPr>
        <w:t>• 관광데이터랩 · 한국관광 데이터랩 · 인천광역시 계양구 방문자 수(연인원) 추이 (이동통신 기반 외지인)</w:t>
      </w:r>
    </w:p>
    <w:p>
      <w:pPr>
        <w:spacing w:after="20"/>
        <w:ind w:left="216"/>
      </w:pPr>
      <w:r>
        <w:rPr>
          <w:rFonts w:ascii="Malgun Gothic" w:hAnsi="Malgun Gothic" w:eastAsia="맑은 고딕"/>
          <w:color w:val="6F8195"/>
          <w:sz w:val="16"/>
        </w:rPr>
        <w:t>• 관광데이터랩 · 한국관광 데이터랩 · 인천광역시 계양구 관광소비 추이_외지인</w:t>
      </w:r>
    </w:p>
    <w:p>
      <w:pPr>
        <w:spacing w:after="20"/>
        <w:ind w:left="216"/>
      </w:pPr>
      <w:r>
        <w:rPr>
          <w:rFonts w:ascii="Malgun Gothic" w:hAnsi="Malgun Gothic" w:eastAsia="맑은 고딕"/>
          <w:color w:val="6F8195"/>
          <w:sz w:val="16"/>
        </w:rPr>
        <w:t>• 관광데이터랩 · 한국관광 데이터랩 · 인천광역시 계양구 순 방문자 수 및 숙박 비율 (이동통신 기반 외지인)</w:t>
      </w:r>
    </w:p>
    <w:p>
      <w:pPr>
        <w:spacing w:after="20"/>
        <w:ind w:left="216"/>
      </w:pPr>
      <w:r>
        <w:rPr>
          <w:rFonts w:ascii="Malgun Gothic" w:hAnsi="Malgun Gothic" w:eastAsia="맑은 고딕"/>
          <w:color w:val="6F8195"/>
          <w:sz w:val="16"/>
        </w:rPr>
        <w:t>• 관광데이터랩 · 한국관광 데이터랩 · 인천광역시 계양구 평균 숙박일 (이동통신 기반 외지인)</w:t>
      </w:r>
    </w:p>
    <w:sectPr w:rsidR="00FC693F" w:rsidRPr="0006063C" w:rsidSect="00034616">
      <w:footerReference w:type="default" r:id="rId9"/>
      <w:pgSz w:w="12240" w:h="15840"/>
      <w:pgMar w:top="1037" w:right="1080" w:bottom="950" w:left="108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맑은 고딕"/>
        <w:color w:val="6F8195"/>
        <w:sz w:val="16"/>
      </w:rPr>
      <w:t>TOUR INSIGHT | 원자료 기반 AI 전략기획서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맑은 고딕"/>
      <w:color w:val="3D526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