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F476" w14:textId="6DA0122D" w:rsidR="009B4734" w:rsidRDefault="009B4734" w:rsidP="009B4734">
      <w:pPr>
        <w:jc w:val="center"/>
        <w:rPr>
          <w:rFonts w:ascii="Calibri" w:hAnsi="Calibri" w:cs="Calibri"/>
          <w:b/>
          <w:sz w:val="30"/>
          <w:szCs w:val="30"/>
          <w:lang w:val="vi-VN"/>
        </w:rPr>
      </w:pPr>
      <w:r w:rsidRPr="009B4734">
        <w:rPr>
          <w:rFonts w:ascii="Calibri" w:hAnsi="Calibri" w:cs="Calibri"/>
          <w:b/>
          <w:sz w:val="30"/>
          <w:szCs w:val="30"/>
          <w:lang w:val="vi-VN"/>
        </w:rPr>
        <w:t>Quy trình khám bệnh ở Bệnh Viên Đại học Y Cần Thơ</w:t>
      </w:r>
    </w:p>
    <w:p w14:paraId="30E641F5" w14:textId="77777777" w:rsidR="009B4734" w:rsidRPr="009B4734" w:rsidRDefault="009B4734" w:rsidP="009B4734">
      <w:pPr>
        <w:jc w:val="center"/>
        <w:rPr>
          <w:rFonts w:ascii="Calibri" w:hAnsi="Calibri" w:cs="Calibri"/>
          <w:b/>
          <w:sz w:val="30"/>
          <w:szCs w:val="30"/>
          <w:lang w:val="vi-VN"/>
        </w:rPr>
      </w:pPr>
    </w:p>
    <w:p w14:paraId="51E5227B" w14:textId="10FBB3C7" w:rsidR="0054783E" w:rsidRPr="009B4734" w:rsidRDefault="009B4734">
      <w:pPr>
        <w:rPr>
          <w:rFonts w:ascii="Calibri" w:hAnsi="Calibri" w:cs="Calibri"/>
        </w:rPr>
      </w:pPr>
      <w:r w:rsidRPr="009B4734">
        <w:rPr>
          <w:rFonts w:ascii="Calibri" w:hAnsi="Calibri" w:cs="Calibri"/>
          <w:noProof/>
        </w:rPr>
        <w:drawing>
          <wp:inline distT="0" distB="0" distL="0" distR="0" wp14:anchorId="35102746" wp14:editId="51E874A0">
            <wp:extent cx="5943600" cy="671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tkb bhy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AE" w14:textId="5ECE3EF4" w:rsidR="009B4734" w:rsidRPr="009B4734" w:rsidRDefault="009B4734">
      <w:pPr>
        <w:rPr>
          <w:rFonts w:ascii="Calibri" w:hAnsi="Calibri" w:cs="Calibri"/>
        </w:rPr>
      </w:pPr>
      <w:r w:rsidRPr="009B4734">
        <w:rPr>
          <w:rFonts w:ascii="Calibri" w:hAnsi="Calibri" w:cs="Calibri"/>
          <w:noProof/>
        </w:rPr>
        <w:lastRenderedPageBreak/>
        <w:drawing>
          <wp:inline distT="0" distB="0" distL="0" distR="0" wp14:anchorId="32330DA0" wp14:editId="478F481C">
            <wp:extent cx="5943600" cy="650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tkb khong bhy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CE3" w14:textId="6AB2BE67" w:rsidR="009B4734" w:rsidRPr="009B4734" w:rsidRDefault="009B4734">
      <w:pPr>
        <w:rPr>
          <w:rFonts w:ascii="Calibri" w:hAnsi="Calibri" w:cs="Calibri"/>
        </w:rPr>
      </w:pPr>
    </w:p>
    <w:p w14:paraId="663F5F5D" w14:textId="283A6CD8" w:rsidR="009B4734" w:rsidRPr="009B4734" w:rsidRDefault="009B4734">
      <w:pPr>
        <w:rPr>
          <w:rFonts w:ascii="Calibri" w:hAnsi="Calibri" w:cs="Calibri"/>
        </w:rPr>
      </w:pPr>
    </w:p>
    <w:p w14:paraId="646E702F" w14:textId="7BD2B37B" w:rsidR="009B4734" w:rsidRPr="009B4734" w:rsidRDefault="009B4734">
      <w:pPr>
        <w:rPr>
          <w:rFonts w:ascii="Calibri" w:hAnsi="Calibri" w:cs="Calibri"/>
        </w:rPr>
      </w:pPr>
    </w:p>
    <w:p w14:paraId="5D3C71EA" w14:textId="72EAFE23" w:rsidR="009B4734" w:rsidRPr="009B4734" w:rsidRDefault="009B4734">
      <w:pPr>
        <w:rPr>
          <w:rFonts w:ascii="Calibri" w:hAnsi="Calibri" w:cs="Calibri"/>
        </w:rPr>
      </w:pPr>
    </w:p>
    <w:p w14:paraId="3C2486A4" w14:textId="604E1A37" w:rsidR="009B4734" w:rsidRPr="009B4734" w:rsidRDefault="009B4734">
      <w:pPr>
        <w:rPr>
          <w:rFonts w:ascii="Calibri" w:hAnsi="Calibri" w:cs="Calibri"/>
        </w:rPr>
      </w:pPr>
    </w:p>
    <w:p w14:paraId="2F50AB9D" w14:textId="44D474A3" w:rsidR="009B4734" w:rsidRPr="009B4734" w:rsidRDefault="009B4734">
      <w:pPr>
        <w:rPr>
          <w:rFonts w:ascii="Calibri" w:hAnsi="Calibri" w:cs="Calibri"/>
        </w:rPr>
      </w:pPr>
      <w:r w:rsidRPr="009B4734">
        <w:rPr>
          <w:rFonts w:ascii="Calibri" w:hAnsi="Calibri" w:cs="Calibri"/>
        </w:rPr>
        <w:br w:type="page"/>
      </w:r>
    </w:p>
    <w:p w14:paraId="5B92326A" w14:textId="741BE7FF" w:rsidR="009B4734" w:rsidRPr="009B4734" w:rsidRDefault="009B4734" w:rsidP="009B4734">
      <w:pPr>
        <w:jc w:val="center"/>
        <w:rPr>
          <w:rFonts w:ascii="Calibri" w:hAnsi="Calibri" w:cs="Calibri"/>
          <w:b/>
          <w:sz w:val="30"/>
          <w:szCs w:val="30"/>
          <w:lang w:val="vi-VN"/>
        </w:rPr>
      </w:pPr>
      <w:r w:rsidRPr="009B4734">
        <w:rPr>
          <w:rFonts w:ascii="Calibri" w:hAnsi="Calibri" w:cs="Calibri"/>
          <w:b/>
          <w:sz w:val="30"/>
          <w:szCs w:val="30"/>
          <w:lang w:val="vi-VN"/>
        </w:rPr>
        <w:lastRenderedPageBreak/>
        <w:t>Bệnh viên Y Dược Huế</w:t>
      </w:r>
    </w:p>
    <w:p w14:paraId="258B5973" w14:textId="00D08BDC" w:rsidR="009B4734" w:rsidRPr="009B4734" w:rsidRDefault="009B4734" w:rsidP="009B4734">
      <w:pPr>
        <w:jc w:val="center"/>
        <w:rPr>
          <w:rFonts w:ascii="Calibri" w:hAnsi="Calibri" w:cs="Calibri"/>
          <w:b/>
          <w:sz w:val="30"/>
          <w:szCs w:val="30"/>
          <w:lang w:val="vi-VN"/>
        </w:rPr>
      </w:pPr>
      <w:r w:rsidRPr="009B4734">
        <w:rPr>
          <w:rFonts w:ascii="Calibri" w:hAnsi="Calibri" w:cs="Calibri"/>
          <w:b/>
          <w:sz w:val="30"/>
          <w:szCs w:val="30"/>
          <w:lang w:val="vi-VN"/>
        </w:rPr>
        <w:t>Quy trình đón tiếp khám bệnh – Thanh toán bảo hiểm y tế ngoại trú</w:t>
      </w:r>
    </w:p>
    <w:p w14:paraId="6692832B" w14:textId="1DBEED67" w:rsidR="009B4734" w:rsidRPr="009B4734" w:rsidRDefault="009B4734" w:rsidP="009B4734">
      <w:pPr>
        <w:jc w:val="center"/>
        <w:rPr>
          <w:rFonts w:ascii="Calibri" w:hAnsi="Calibri" w:cs="Calibri"/>
          <w:lang w:val="vi-VN"/>
        </w:rPr>
      </w:pPr>
    </w:p>
    <w:p w14:paraId="40A647A8" w14:textId="69A2173B" w:rsidR="009B4734" w:rsidRPr="009B4734" w:rsidRDefault="009B4734" w:rsidP="009B4734">
      <w:pPr>
        <w:pStyle w:val="ListParagraph"/>
        <w:numPr>
          <w:ilvl w:val="0"/>
          <w:numId w:val="1"/>
        </w:numPr>
        <w:rPr>
          <w:rFonts w:ascii="Calibri" w:hAnsi="Calibri" w:cs="Calibri"/>
          <w:lang w:val="vi-VN"/>
        </w:rPr>
      </w:pPr>
      <w:r w:rsidRPr="009B4734">
        <w:rPr>
          <w:rFonts w:ascii="Calibri" w:hAnsi="Calibri" w:cs="Calibri"/>
          <w:lang w:val="vi-VN"/>
        </w:rPr>
        <w:t>Quy trình đón tiếp, thanh toán BHYT ngoại trú</w:t>
      </w:r>
    </w:p>
    <w:p w14:paraId="0A62248E" w14:textId="39930738" w:rsidR="009B4734" w:rsidRPr="009B4734" w:rsidRDefault="009B4734" w:rsidP="009B4734">
      <w:pPr>
        <w:ind w:left="360"/>
        <w:rPr>
          <w:rFonts w:ascii="Calibri" w:hAnsi="Calibri" w:cs="Calibri"/>
          <w:lang w:val="vi-VN"/>
        </w:rPr>
      </w:pPr>
    </w:p>
    <w:p w14:paraId="6592A1AF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1: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đến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Bộ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lấy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số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thứ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tự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ngồi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ghế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chờ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nghe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gọi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số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4551B13B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2: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Bộ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gọi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số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kiểm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thẻ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giấy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tờ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tuỳ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thân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giấy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chuyển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gram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(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nếu</w:t>
      </w:r>
      <w:proofErr w:type="spellEnd"/>
      <w:proofErr w:type="gram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có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),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nhập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thông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tin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phân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phòng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theo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chuyên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khoa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hướng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dẫn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đến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phòng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chuyên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khoa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phân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để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6A090B88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3: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Bác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sĩ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phòng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chuyên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khoa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tư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vấn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lý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để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chỉ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định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các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xét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nghiệm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lâm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sàng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(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nếu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có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),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nhập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gram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(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nếu</w:t>
      </w:r>
      <w:proofErr w:type="spellEnd"/>
      <w:proofErr w:type="gram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lý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cần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phải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nội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trú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),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chuyển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(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nếu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có</w:t>
      </w:r>
      <w:bookmarkStart w:id="0" w:name="_GoBack"/>
      <w:bookmarkEnd w:id="0"/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)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hoặc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kê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ngoại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trú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780C5E35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4: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làm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các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chỉ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định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lâm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sàng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như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là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xét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nghiệm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siêu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âm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, X-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quang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CT, MRI,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tim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nội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proofErr w:type="gram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soi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,...</w:t>
      </w:r>
      <w:proofErr w:type="spellStart"/>
      <w:proofErr w:type="gram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trả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kết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quả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và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trở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về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phòng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Bác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sĩ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phòng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khám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kết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luận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và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tư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vấn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cho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có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thể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là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kê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ngoại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trú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nhập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điều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trị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ngoại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trú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hoặc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chuyển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viện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0D87167C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Bước5: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nhân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trở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lại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Bộ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 </w:t>
      </w:r>
      <w:proofErr w:type="gram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(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Tổ</w:t>
      </w:r>
      <w:proofErr w:type="spellEnd"/>
      <w:proofErr w:type="gram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thanh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toán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BHYT)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để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làm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thủ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tục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thanh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toán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theo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quy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định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Tổ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thanh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toán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tiền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(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nếu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phải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nộp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tiền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)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cấp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biên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lai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tiền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trả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thẻ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BHYT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và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hướng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dẫn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đến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khoa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12765703" w14:textId="77777777" w:rsidR="009B4734" w:rsidRP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6: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Khoa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tiếp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nhận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cấp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,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hướng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dẫn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cho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cách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dùng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60F4B7E6" w14:textId="579C38D3" w:rsidR="009B4734" w:rsidRDefault="009B4734" w:rsidP="009B4734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7: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Người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bệnh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kiểm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được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cấp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so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với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thuốc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Bác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sĩ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kê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đơn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trước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ra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 xml:space="preserve"> </w:t>
      </w:r>
      <w:proofErr w:type="spellStart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về</w:t>
      </w:r>
      <w:proofErr w:type="spellEnd"/>
      <w:r w:rsidRPr="009B4734">
        <w:rPr>
          <w:rFonts w:ascii="Calibri" w:eastAsia="Times New Roman" w:hAnsi="Calibri" w:cs="Calibri"/>
          <w:color w:val="0A0404"/>
          <w:sz w:val="26"/>
          <w:szCs w:val="26"/>
        </w:rPr>
        <w:t>.</w:t>
      </w:r>
    </w:p>
    <w:p w14:paraId="13C7E368" w14:textId="77777777" w:rsidR="009B7FA7" w:rsidRDefault="009B7FA7">
      <w:pPr>
        <w:rPr>
          <w:rFonts w:ascii="Calibri" w:eastAsia="Times New Roman" w:hAnsi="Calibri" w:cs="Calibri"/>
          <w:color w:val="0A0404"/>
          <w:sz w:val="26"/>
          <w:szCs w:val="26"/>
        </w:rPr>
      </w:pPr>
      <w:r>
        <w:rPr>
          <w:rFonts w:ascii="Calibri" w:eastAsia="Times New Roman" w:hAnsi="Calibri" w:cs="Calibri"/>
          <w:color w:val="0A0404"/>
          <w:sz w:val="26"/>
          <w:szCs w:val="26"/>
        </w:rPr>
        <w:br w:type="page"/>
      </w:r>
    </w:p>
    <w:p w14:paraId="1F3CE147" w14:textId="44C4DD42" w:rsidR="009B4734" w:rsidRPr="009B7FA7" w:rsidRDefault="009B4734" w:rsidP="009B4734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r>
        <w:rPr>
          <w:rFonts w:ascii="Calibri" w:eastAsia="Times New Roman" w:hAnsi="Calibri" w:cs="Calibri"/>
          <w:color w:val="0A0404"/>
          <w:sz w:val="26"/>
          <w:szCs w:val="26"/>
        </w:rPr>
        <w:lastRenderedPageBreak/>
        <w:t>S</w:t>
      </w:r>
      <w:r>
        <w:rPr>
          <w:rFonts w:ascii="Calibri" w:eastAsia="Times New Roman" w:hAnsi="Calibri" w:cs="Calibri"/>
          <w:color w:val="0A0404"/>
          <w:sz w:val="26"/>
          <w:szCs w:val="26"/>
          <w:lang w:val="vi-VN"/>
        </w:rPr>
        <w:t>ơ đồ quy trình đón tiếp – Thanh toán BHYT</w:t>
      </w:r>
    </w:p>
    <w:p w14:paraId="4F6911C1" w14:textId="0CDAFEB8" w:rsidR="009B7FA7" w:rsidRDefault="009B7FA7" w:rsidP="009B7FA7">
      <w:pPr>
        <w:pStyle w:val="ListParagraph"/>
        <w:shd w:val="clear" w:color="auto" w:fill="FFFFFF"/>
        <w:spacing w:after="100" w:afterAutospacing="1"/>
        <w:ind w:left="1080"/>
        <w:jc w:val="both"/>
        <w:rPr>
          <w:rFonts w:ascii="Calibri" w:eastAsia="Times New Roman" w:hAnsi="Calibri" w:cs="Calibri"/>
          <w:color w:val="0A0404"/>
          <w:sz w:val="26"/>
          <w:szCs w:val="26"/>
          <w:lang w:val="vi-VN"/>
        </w:rPr>
      </w:pPr>
    </w:p>
    <w:p w14:paraId="486A9802" w14:textId="77777777" w:rsidR="009B7FA7" w:rsidRPr="009B7FA7" w:rsidRDefault="009B7FA7" w:rsidP="009B7FA7">
      <w:pPr>
        <w:pStyle w:val="ListParagraph"/>
        <w:shd w:val="clear" w:color="auto" w:fill="FFFFFF"/>
        <w:spacing w:after="100" w:afterAutospacing="1"/>
        <w:ind w:left="1080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</w:p>
    <w:p w14:paraId="21818413" w14:textId="2AC1777A" w:rsidR="009B7FA7" w:rsidRPr="009B4734" w:rsidRDefault="009B7FA7" w:rsidP="009B7FA7">
      <w:pPr>
        <w:pStyle w:val="ListParagraph"/>
        <w:shd w:val="clear" w:color="auto" w:fill="FFFFFF"/>
        <w:spacing w:after="100" w:afterAutospacing="1"/>
        <w:ind w:left="360"/>
        <w:jc w:val="both"/>
        <w:rPr>
          <w:rFonts w:ascii="Calibri" w:eastAsia="Times New Roman" w:hAnsi="Calibri" w:cs="Calibri"/>
          <w:color w:val="0A0404"/>
          <w:sz w:val="26"/>
          <w:szCs w:val="26"/>
        </w:rPr>
      </w:pPr>
      <w:r>
        <w:rPr>
          <w:rFonts w:ascii="Calibri" w:eastAsia="Times New Roman" w:hAnsi="Calibri" w:cs="Calibri"/>
          <w:noProof/>
          <w:color w:val="0A0404"/>
          <w:sz w:val="26"/>
          <w:szCs w:val="26"/>
        </w:rPr>
        <w:drawing>
          <wp:inline distT="0" distB="0" distL="0" distR="0" wp14:anchorId="5B114C13" wp14:editId="77D489DD">
            <wp:extent cx="6114323" cy="4489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trinhkhamben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38" cy="44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DA08" w14:textId="77777777" w:rsidR="009B4734" w:rsidRPr="009B4734" w:rsidRDefault="009B4734" w:rsidP="009B4734">
      <w:pPr>
        <w:rPr>
          <w:rFonts w:ascii="Calibri" w:eastAsia="Times New Roman" w:hAnsi="Calibri" w:cs="Calibri"/>
          <w:sz w:val="26"/>
          <w:szCs w:val="26"/>
        </w:rPr>
      </w:pPr>
    </w:p>
    <w:p w14:paraId="5888CBCE" w14:textId="77777777" w:rsidR="009B4734" w:rsidRPr="009B4734" w:rsidRDefault="009B4734" w:rsidP="009B4734">
      <w:pPr>
        <w:ind w:left="360"/>
        <w:rPr>
          <w:rFonts w:ascii="Calibri" w:hAnsi="Calibri" w:cs="Calibri"/>
          <w:lang w:val="vi-VN"/>
        </w:rPr>
      </w:pPr>
    </w:p>
    <w:sectPr w:rsidR="009B4734" w:rsidRPr="009B4734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7B4"/>
    <w:multiLevelType w:val="hybridMultilevel"/>
    <w:tmpl w:val="A864B3DC"/>
    <w:lvl w:ilvl="0" w:tplc="42A28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34"/>
    <w:rsid w:val="0054783E"/>
    <w:rsid w:val="00753F27"/>
    <w:rsid w:val="009B4734"/>
    <w:rsid w:val="009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20BD"/>
  <w15:chartTrackingRefBased/>
  <w15:docId w15:val="{CFCF7378-FE1C-A54C-AACF-2F3D37AA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2</cp:revision>
  <dcterms:created xsi:type="dcterms:W3CDTF">2018-09-15T09:16:00Z</dcterms:created>
  <dcterms:modified xsi:type="dcterms:W3CDTF">2018-09-15T09:25:00Z</dcterms:modified>
</cp:coreProperties>
</file>