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287B4">
      <w:pPr>
        <w:pStyle w:val="2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 xml:space="preserve">KORAD </w:t>
      </w:r>
      <w:r>
        <w:rPr>
          <w:rFonts w:hint="eastAsia" w:ascii="맑은 고딕" w:hAnsi="맑은 고딕" w:eastAsia="맑은 고딕" w:cs="맑은 고딕"/>
          <w:lang w:eastAsia="ko-KR"/>
        </w:rPr>
        <w:t>이기종</w:t>
      </w:r>
      <w:r>
        <w:rPr>
          <w:rFonts w:hint="eastAsia" w:ascii="맑은 고딕" w:hAnsi="맑은 고딕" w:eastAsia="맑은 고딕" w:cs="맑은 고딕"/>
          <w:lang w:val="en-US" w:eastAsia="ko-KR"/>
        </w:rPr>
        <w:t xml:space="preserve"> </w:t>
      </w:r>
      <w:r>
        <w:rPr>
          <w:rFonts w:hint="eastAsia" w:ascii="맑은 고딕" w:hAnsi="맑은 고딕" w:eastAsia="맑은 고딕" w:cs="맑은 고딕"/>
          <w:lang w:eastAsia="ko-KR"/>
        </w:rPr>
        <w:t>통합관제시스템</w:t>
      </w:r>
      <w:r>
        <w:rPr>
          <w:rFonts w:hint="eastAsia" w:ascii="맑은 고딕" w:hAnsi="맑은 고딕" w:eastAsia="맑은 고딕" w:cs="맑은 고딕"/>
        </w:rPr>
        <w:t xml:space="preserve"> 요구사항 정리본</w:t>
      </w:r>
    </w:p>
    <w:p w14:paraId="716E046E">
      <w:pPr>
        <w:pStyle w:val="3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1. 사업 개요</w:t>
      </w:r>
    </w:p>
    <w:p w14:paraId="67F16EA2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 xml:space="preserve">KORAD 경주 중저준위 방사성폐기물 처분시설에 </w:t>
      </w:r>
      <w:r>
        <w:rPr>
          <w:rFonts w:hint="eastAsia" w:ascii="맑은 고딕" w:hAnsi="맑은 고딕" w:eastAsia="맑은 고딕" w:cs="맑은 고딕"/>
          <w:lang w:eastAsia="ko-KR"/>
        </w:rPr>
        <w:t>이</w:t>
      </w:r>
      <w:r>
        <w:rPr>
          <w:rFonts w:hint="eastAsia" w:ascii="맑은 고딕" w:hAnsi="맑은 고딕" w:eastAsia="맑은 고딕" w:cs="맑은 고딕"/>
        </w:rPr>
        <w:t>기종 로봇과 통합관제시스템</w:t>
      </w:r>
      <w:r>
        <w:rPr>
          <w:rFonts w:hint="eastAsia" w:ascii="맑은 고딕" w:hAnsi="맑은 고딕" w:eastAsia="맑은 고딕" w:cs="맑은 고딕"/>
          <w:lang w:eastAsia="ko-KR"/>
        </w:rPr>
        <w:t>을</w:t>
      </w:r>
      <w:r>
        <w:rPr>
          <w:rFonts w:hint="eastAsia" w:ascii="맑은 고딕" w:hAnsi="맑은 고딕" w:eastAsia="맑은 고딕" w:cs="맑은 고딕"/>
        </w:rPr>
        <w:t xml:space="preserve"> 도입하여 방사성폐기물 처리와 시설 감시 업무를 자동화하는 사업입니다.</w:t>
      </w:r>
    </w:p>
    <w:p w14:paraId="6707D621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주요 자동화 대상은 다음과 같습니다.</w:t>
      </w:r>
    </w:p>
    <w:p w14:paraId="6280D4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방사성폐기물 드럼 이송</w:t>
      </w:r>
    </w:p>
    <w:p w14:paraId="011237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팰릿 단위 운반</w:t>
      </w:r>
    </w:p>
    <w:p w14:paraId="45A677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드럼 선별 및 처분용기 장입</w:t>
      </w:r>
    </w:p>
    <w:p w14:paraId="4CD500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시설 내·외부 감시와 순찰</w:t>
      </w:r>
      <w:bookmarkStart w:id="0" w:name="_GoBack"/>
      <w:bookmarkEnd w:id="0"/>
    </w:p>
    <w:p w14:paraId="3DF5C2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침입·화재·낙상·환경 이상 감지</w:t>
      </w:r>
    </w:p>
    <w:p w14:paraId="27074C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다기종 로봇 임무 실행과 상태 모니터링</w:t>
      </w:r>
    </w:p>
    <w:p w14:paraId="0408D7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로봇 운행 및 작업 데이터 기록</w:t>
      </w:r>
    </w:p>
    <w:p w14:paraId="292DB4E6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사업의 주요 목적은 다음과 같습니다.</w:t>
      </w:r>
    </w:p>
    <w:p w14:paraId="4A7DE8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근로자의 방사선 구역 체류시간 및 피폭 저감</w:t>
      </w:r>
    </w:p>
    <w:p w14:paraId="2611CD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중량물 취급과 반복작업 자동화</w:t>
      </w:r>
    </w:p>
    <w:p w14:paraId="6D4DE4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수작업 과정의 인적 오류 감소</w:t>
      </w:r>
    </w:p>
    <w:p w14:paraId="4357A2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폐기물 처리 효율 향상</w:t>
      </w:r>
    </w:p>
    <w:p w14:paraId="294E37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데이터 기반 상시 감시체계 구축</w:t>
      </w:r>
    </w:p>
    <w:p w14:paraId="5B0761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국가 보안시설에 적합한 무인 감시체계 확보</w:t>
      </w:r>
    </w:p>
    <w:p w14:paraId="7316C066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기존에는 근로자가 지게차·크레인을 직접 조작하거나 시설을 정기적으로 순찰했습니다. 도입 이후에는 관제실에서 원격으로 로봇을 모니터링하고, 이상 상황이 발생했을 때 현장 지원 인력이 출동하는 운영 구조로 전환됩니다.</w:t>
      </w:r>
    </w:p>
    <w:p w14:paraId="4F8839EF">
      <w:pPr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76601">
      <w:pPr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</w:p>
    <w:p w14:paraId="5511E58C">
      <w:pPr>
        <w:pStyle w:val="3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2. 실증 장소</w:t>
      </w:r>
    </w:p>
    <w:p w14:paraId="6D5418E7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실증 장소는 한국원자력환경공단 중저준위사업본부 지상지원시설입니다.</w:t>
      </w:r>
    </w:p>
    <w:p w14:paraId="539ADE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위치: 경상북도 경주시 문무대왕면 동해안로 1249</w:t>
      </w:r>
    </w:p>
    <w:p w14:paraId="57E881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시설 역할: 방사성폐기물을 인수·검사한 후 처분시설로 이동하기 전까지 보관</w:t>
      </w:r>
    </w:p>
    <w:p w14:paraId="7146D1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실증 구역:</w:t>
      </w:r>
    </w:p>
    <w:p w14:paraId="54AE311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폐기물 저장·보관 장소</w:t>
      </w:r>
    </w:p>
    <w:p w14:paraId="31B9ED7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처분용기 장입 구역</w:t>
      </w:r>
    </w:p>
    <w:p w14:paraId="36A8D69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시설 외곽 경계</w:t>
      </w:r>
    </w:p>
    <w:p w14:paraId="31BE338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보행로 및 일반 차도</w:t>
      </w:r>
    </w:p>
    <w:p w14:paraId="696DEAE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건물과 시설물 주변</w:t>
      </w:r>
    </w:p>
    <w:p w14:paraId="2C18863F">
      <w:pPr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178CD">
      <w:pPr>
        <w:pStyle w:val="3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3. 로봇 구성</w:t>
      </w:r>
    </w:p>
    <w:p w14:paraId="581E69CA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 xml:space="preserve">사업에는 총 </w:t>
      </w:r>
      <w:r>
        <w:rPr>
          <w:rStyle w:val="7"/>
          <w:rFonts w:hint="eastAsia" w:ascii="맑은 고딕" w:hAnsi="맑은 고딕" w:eastAsia="맑은 고딕" w:cs="맑은 고딕"/>
        </w:rPr>
        <w:t>6종 7대</w:t>
      </w:r>
      <w:r>
        <w:rPr>
          <w:rFonts w:hint="eastAsia" w:ascii="맑은 고딕" w:hAnsi="맑은 고딕" w:eastAsia="맑은 고딕" w:cs="맑은 고딕"/>
        </w:rPr>
        <w:t>의 로봇이 도입됩니다.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5"/>
        <w:gridCol w:w="540"/>
        <w:gridCol w:w="3308"/>
        <w:gridCol w:w="2663"/>
      </w:tblGrid>
      <w:tr w14:paraId="5498E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A12F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맑은 고딕" w:hAnsi="맑은 고딕" w:eastAsia="맑은 고딕" w:cs="맑은 고딕"/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kern w:val="0"/>
                <w:sz w:val="24"/>
                <w:szCs w:val="24"/>
                <w:lang w:val="en-US" w:eastAsia="zh-CN" w:bidi="ar"/>
              </w:rPr>
              <w:t>로봇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D13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맑은 고딕" w:hAnsi="맑은 고딕" w:eastAsia="맑은 고딕" w:cs="맑은 고딕"/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kern w:val="0"/>
                <w:sz w:val="24"/>
                <w:szCs w:val="24"/>
                <w:lang w:val="en-US" w:eastAsia="zh-CN" w:bidi="ar"/>
              </w:rPr>
              <w:t>수량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5EF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맑은 고딕" w:hAnsi="맑은 고딕" w:eastAsia="맑은 고딕" w:cs="맑은 고딕"/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kern w:val="0"/>
                <w:sz w:val="24"/>
                <w:szCs w:val="24"/>
                <w:lang w:val="en-US" w:eastAsia="zh-CN" w:bidi="ar"/>
              </w:rPr>
              <w:t>주요 역할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797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맑은 고딕" w:hAnsi="맑은 고딕" w:eastAsia="맑은 고딕" w:cs="맑은 고딕"/>
                <w:b/>
                <w:bCs/>
              </w:rPr>
            </w:pPr>
            <w:r>
              <w:rPr>
                <w:rFonts w:hint="eastAsia" w:ascii="맑은 고딕" w:hAnsi="맑은 고딕" w:eastAsia="맑은 고딕" w:cs="맑은 고딕"/>
                <w:b/>
                <w:bCs/>
                <w:kern w:val="0"/>
                <w:sz w:val="24"/>
                <w:szCs w:val="24"/>
                <w:lang w:val="en-US" w:eastAsia="zh-CN" w:bidi="ar"/>
              </w:rPr>
              <w:t>주요 운용 구역</w:t>
            </w:r>
          </w:p>
        </w:tc>
      </w:tr>
      <w:tr w14:paraId="0456E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A241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무인지게차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22A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1대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5A8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폐기물 팰릿 상차 및 이송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234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실내 저장소</w:t>
            </w:r>
          </w:p>
        </w:tc>
      </w:tr>
      <w:tr w14:paraId="4F1E0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5E02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저상형 AMR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AD8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2대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E7B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팰릿 단위 폐기물 연속 운반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590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저장소–처분용기 구간</w:t>
            </w:r>
          </w:p>
        </w:tc>
      </w:tr>
      <w:tr w14:paraId="291AC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EC51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산업용 로봇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656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1대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0F5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팰릿 위 드럼을 처분용기에 정밀 장입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8B2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처분용기 앞</w:t>
            </w:r>
          </w:p>
        </w:tc>
      </w:tr>
      <w:tr w14:paraId="65C4F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5064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편심 자율주행 로봇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E88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1대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D4B4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외벽 균열, 유해가스 및 환경 이상 감시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C5D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건물·시설물 인근 중간 험지</w:t>
            </w:r>
          </w:p>
        </w:tc>
      </w:tr>
      <w:tr w14:paraId="39209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332E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4족 보행 로봇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DB5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1대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DF9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침입 흔적과 시설 파손 감시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AD0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외곽 경계·복합 험지</w:t>
            </w:r>
          </w:p>
        </w:tc>
      </w:tr>
      <w:tr w14:paraId="244A8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4331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실외 자율주행 로봇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375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1대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DFA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화재, 대기오염, 낙상·쓰러짐 감지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248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맑은 고딕" w:hAnsi="맑은 고딕" w:eastAsia="맑은 고딕" w:cs="맑은 고딕"/>
              </w:rPr>
            </w:pPr>
            <w:r>
              <w:rPr>
                <w:rFonts w:hint="eastAsia" w:ascii="맑은 고딕" w:hAnsi="맑은 고딕" w:eastAsia="맑은 고딕" w:cs="맑은 고딕"/>
                <w:kern w:val="0"/>
                <w:sz w:val="24"/>
                <w:szCs w:val="24"/>
                <w:lang w:val="en-US" w:eastAsia="zh-CN" w:bidi="ar"/>
              </w:rPr>
              <w:t>보행로·일반 차도</w:t>
            </w:r>
          </w:p>
        </w:tc>
      </w:tr>
    </w:tbl>
    <w:p w14:paraId="02CEE31F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외부 감시구역은 로봇 특성에 따라 세 구역으로 분리합니다.</w:t>
      </w:r>
    </w:p>
    <w:p w14:paraId="23F10A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외곽 경계와 복합 험지: 4족 보행 로봇</w:t>
      </w:r>
    </w:p>
    <w:p w14:paraId="2756B9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건물과 외곽 사이의 일반 도로: 실외 자율주행 로봇</w:t>
      </w:r>
    </w:p>
    <w:p w14:paraId="5B3534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건물·시설물 인근의 중간 험지: 편심 자율주행 로봇</w:t>
      </w:r>
    </w:p>
    <w:p w14:paraId="031B6DC3">
      <w:pPr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AD656">
      <w:pPr>
        <w:pStyle w:val="3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  <w:lang w:val="en-US" w:eastAsia="ko-KR"/>
        </w:rPr>
        <w:t>4</w:t>
      </w:r>
      <w:r>
        <w:rPr>
          <w:rFonts w:hint="eastAsia" w:ascii="맑은 고딕" w:hAnsi="맑은 고딕" w:eastAsia="맑은 고딕" w:cs="맑은 고딕"/>
        </w:rPr>
        <w:t>. 주요 업무 시나리오</w:t>
      </w:r>
    </w:p>
    <w:p w14:paraId="005A4EC9">
      <w:pPr>
        <w:pStyle w:val="4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  <w:lang w:val="en-US" w:eastAsia="ko-KR"/>
        </w:rPr>
        <w:t>4</w:t>
      </w:r>
      <w:r>
        <w:rPr>
          <w:rFonts w:hint="eastAsia" w:ascii="맑은 고딕" w:hAnsi="맑은 고딕" w:eastAsia="맑은 고딕" w:cs="맑은 고딕"/>
        </w:rPr>
        <w:t>.1 폐기물 이송·장입</w:t>
      </w:r>
    </w:p>
    <w:p w14:paraId="5A76961E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기본 업무 흐름은 다음과 같습니다.</w:t>
      </w:r>
    </w:p>
    <w:p w14:paraId="1B9DE9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무인지게차가 정해진 위치의 폐기물 팰릿을 들어 AMR에 상차</w:t>
      </w:r>
    </w:p>
    <w:p w14:paraId="3B21B4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AMR 1호기가 팰릿을 처분용기 앞으로 운반</w:t>
      </w:r>
    </w:p>
    <w:p w14:paraId="56BC4E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산업용 로봇이 팰릿 위 드럼을 하나씩 처분용기에 장입</w:t>
      </w:r>
    </w:p>
    <w:p w14:paraId="07FAE0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AMR 2호기는 다음 팰릿을 받은 후 대기</w:t>
      </w:r>
    </w:p>
    <w:p w14:paraId="451D81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AMR 1호기가 빈 팰릿을 반출</w:t>
      </w:r>
    </w:p>
    <w:p w14:paraId="5CBE3F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AMR 2호기가 처분용기 앞으로 이동</w:t>
      </w:r>
    </w:p>
    <w:p w14:paraId="44F2B5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AMR 1호기는 다시 팰릿 적재 위치로 이동</w:t>
      </w:r>
    </w:p>
    <w:p w14:paraId="5A63D2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두 AMR이 교대로 운반하고 산업용 로봇이 장입 작업을 반복</w:t>
      </w:r>
    </w:p>
    <w:p w14:paraId="43F0AAD4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관제시스템은 로봇별 개별 임무뿐 아니라 다수 로봇의 작업 순서와 조건을 함께 관리해야 합니다.</w:t>
      </w:r>
    </w:p>
    <w:p w14:paraId="4E9C9105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문서에서 확인되는 주요 관리 요소:</w:t>
      </w:r>
    </w:p>
    <w:p w14:paraId="0705A8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참여 로봇</w:t>
      </w:r>
    </w:p>
    <w:p w14:paraId="1C7F11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로봇별 Activity</w:t>
      </w:r>
    </w:p>
    <w:p w14:paraId="7BFFD1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Task 시작 조건</w:t>
      </w:r>
    </w:p>
    <w:p w14:paraId="67A34A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Task 대기 조건</w:t>
      </w:r>
    </w:p>
    <w:p w14:paraId="217C40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세부 Task 우선순위</w:t>
      </w:r>
    </w:p>
    <w:p w14:paraId="001807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로봇별 실행 상태</w:t>
      </w:r>
    </w:p>
    <w:p w14:paraId="5DE8F8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마지막 Activity까지 정상 실행되었는지 여부</w:t>
      </w:r>
    </w:p>
    <w:p w14:paraId="3E91D758">
      <w:pPr>
        <w:pStyle w:val="4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  <w:lang w:val="en-US" w:eastAsia="ko-KR"/>
        </w:rPr>
        <w:t>4</w:t>
      </w:r>
      <w:r>
        <w:rPr>
          <w:rFonts w:hint="eastAsia" w:ascii="맑은 고딕" w:hAnsi="맑은 고딕" w:eastAsia="맑은 고딕" w:cs="맑은 고딕"/>
        </w:rPr>
        <w:t>.2 외부 안전감시·순찰</w:t>
      </w:r>
    </w:p>
    <w:p w14:paraId="3233C9A4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세 종류의 감시 로봇이 담당 영역을 분할하여 동시에 임무를 수행합니다.</w:t>
      </w:r>
    </w:p>
    <w:p w14:paraId="7E1B0FB5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감시 대상:</w:t>
      </w:r>
    </w:p>
    <w:p w14:paraId="1DBA08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외부 침입 흔적</w:t>
      </w:r>
    </w:p>
    <w:p w14:paraId="6B3DBD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시설물 파손·훼손</w:t>
      </w:r>
    </w:p>
    <w:p w14:paraId="1FF403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건물 외벽 균열</w:t>
      </w:r>
    </w:p>
    <w:p w14:paraId="3050E9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유해가스와 대기오염</w:t>
      </w:r>
    </w:p>
    <w:p w14:paraId="17C752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화재</w:t>
      </w:r>
    </w:p>
    <w:p w14:paraId="606825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낙상자·쓰러짐</w:t>
      </w:r>
    </w:p>
    <w:p w14:paraId="2A5128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시설 주변의 기타 안전 이상</w:t>
      </w:r>
    </w:p>
    <w:p w14:paraId="4B1C957F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이상 상황이 발생하면 통합관제솔루션의 관리자 또는 운영자에게 알림이 발생하며, 관제 운용원은 관제 화면과 로봇 탑재 카메라를 통해 상황을 원격 확인합니다.</w:t>
      </w:r>
    </w:p>
    <w:p w14:paraId="452043E3">
      <w:pPr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1514F">
      <w:pPr>
        <w:pStyle w:val="3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  <w:lang w:val="en-US" w:eastAsia="ko-KR"/>
        </w:rPr>
        <w:t>5</w:t>
      </w:r>
      <w:r>
        <w:rPr>
          <w:rFonts w:hint="eastAsia" w:ascii="맑은 고딕" w:hAnsi="맑은 고딕" w:eastAsia="맑은 고딕" w:cs="맑은 고딕"/>
        </w:rPr>
        <w:t>. 표준 운영 절차</w:t>
      </w:r>
    </w:p>
    <w:p w14:paraId="41BF776D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문서에 제시된 관제실 운영 절차는 다음과 같습니다.</w:t>
      </w:r>
    </w:p>
    <w:p w14:paraId="6FE2F09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 xml:space="preserve">관제 운용원이 </w:t>
      </w:r>
      <w:r>
        <w:rPr>
          <w:rFonts w:hint="eastAsia" w:ascii="맑은 고딕" w:hAnsi="맑은 고딕" w:eastAsia="맑은 고딕" w:cs="맑은 고딕"/>
          <w:lang w:eastAsia="ko-KR"/>
        </w:rPr>
        <w:t>시스템</w:t>
      </w:r>
      <w:r>
        <w:rPr>
          <w:rFonts w:hint="eastAsia" w:ascii="맑은 고딕" w:hAnsi="맑은 고딕" w:eastAsia="맑은 고딕" w:cs="맑은 고딕"/>
        </w:rPr>
        <w:t>에 로그인</w:t>
      </w:r>
    </w:p>
    <w:p w14:paraId="690B13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전체 로봇의 자가진단 및 배터리 잔량 점검</w:t>
      </w:r>
    </w:p>
    <w:p w14:paraId="4E5BC8B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정상 로봇을 운용 대기 상태로 전환</w:t>
      </w:r>
    </w:p>
    <w:p w14:paraId="05613B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사전에 설정된 스케줄에 따라 임무 자동 실행</w:t>
      </w:r>
    </w:p>
    <w:p w14:paraId="73B305F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관제 화면에서 전체 로봇의 운행 상태 상시 모니터링</w:t>
      </w:r>
    </w:p>
    <w:p w14:paraId="24A684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경보 발생 시 관제 화면과 로봇 탑재 카메라로 1차 원격 확인</w:t>
      </w:r>
    </w:p>
    <w:p w14:paraId="73B7E2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필요한 경우 현장 지원 인력이 출동하여 2차 조치</w:t>
      </w:r>
    </w:p>
    <w:p w14:paraId="156EE4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운영 인력 교대 시 관제 매뉴얼에 따라 인수인계</w:t>
      </w:r>
    </w:p>
    <w:p w14:paraId="5EE9AE1E">
      <w:pPr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E83C9">
      <w:pPr>
        <w:pStyle w:val="3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  <w:lang w:val="en-US" w:eastAsia="ko-KR"/>
        </w:rPr>
        <w:t>6</w:t>
      </w:r>
      <w:r>
        <w:rPr>
          <w:rFonts w:hint="eastAsia" w:ascii="맑은 고딕" w:hAnsi="맑은 고딕" w:eastAsia="맑은 고딕" w:cs="맑은 고딕"/>
        </w:rPr>
        <w:t>. 비상 대응 및 안전 요구사항</w:t>
      </w:r>
    </w:p>
    <w:p w14:paraId="06742DFB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문서에서 확인되는 비상상황 유형:</w:t>
      </w:r>
    </w:p>
    <w:p w14:paraId="165A828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통신 두절</w:t>
      </w:r>
    </w:p>
    <w:p w14:paraId="31A2280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로봇 고장</w:t>
      </w:r>
    </w:p>
    <w:p w14:paraId="09BC29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정전</w:t>
      </w:r>
    </w:p>
    <w:p w14:paraId="5B5459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기타 시스템 비상상황</w:t>
      </w:r>
    </w:p>
    <w:p w14:paraId="04040681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필요 기능과 운영 절차:</w:t>
      </w:r>
    </w:p>
    <w:p w14:paraId="31FCFF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모든 로봇에 물리적 E-Stop 장착</w:t>
      </w:r>
    </w:p>
    <w:p w14:paraId="41BA97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  <w:lang w:eastAsia="ko-KR"/>
        </w:rPr>
        <w:t>시스템</w:t>
      </w:r>
      <w:r>
        <w:rPr>
          <w:rFonts w:hint="eastAsia" w:ascii="맑은 고딕" w:hAnsi="맑은 고딕" w:eastAsia="맑은 고딕" w:cs="맑은 고딕"/>
        </w:rPr>
        <w:t>에서 원격 비상정지 명령</w:t>
      </w:r>
    </w:p>
    <w:p w14:paraId="6257FD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비상 시 전체 로봇에 Safe Stop 일괄 전송</w:t>
      </w:r>
    </w:p>
    <w:p w14:paraId="734C97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관제 운용원에게 관제실 경보음 통보</w:t>
      </w:r>
    </w:p>
    <w:p w14:paraId="1C60C8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KORAD 안전 담당자에게 SMS 통보</w:t>
      </w:r>
    </w:p>
    <w:p w14:paraId="7333AA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카메라를 통한 1차 원격 확인</w:t>
      </w:r>
    </w:p>
    <w:p w14:paraId="778501D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현장 지원 인력의 2차 현장 조치</w:t>
      </w:r>
    </w:p>
    <w:p w14:paraId="2B0328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관제시스템 장애 시 기존 수작업 체계로 전환하는 Fallback 절차</w:t>
      </w:r>
    </w:p>
    <w:p w14:paraId="42981EED">
      <w:pPr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05103">
      <w:pPr>
        <w:pStyle w:val="3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  <w:lang w:val="en-US" w:eastAsia="ko-KR"/>
        </w:rPr>
        <w:t>7</w:t>
      </w:r>
      <w:r>
        <w:rPr>
          <w:rFonts w:hint="eastAsia" w:ascii="맑은 고딕" w:hAnsi="맑은 고딕" w:eastAsia="맑은 고딕" w:cs="맑은 고딕"/>
        </w:rPr>
        <w:t>. 통신 및 시스템 운영 환경</w:t>
      </w:r>
    </w:p>
    <w:p w14:paraId="0C92FBDC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로봇 통신에는 전용 Private LTE를 사용합니다.</w:t>
      </w:r>
    </w:p>
    <w:p w14:paraId="242BAB7D">
      <w:pPr>
        <w:pStyle w:val="9"/>
        <w:keepNext w:val="0"/>
        <w:keepLines w:val="0"/>
        <w:widowControl/>
        <w:suppressLineNumbers w:val="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주요 특성:</w:t>
      </w:r>
    </w:p>
    <w:p w14:paraId="548164E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통신사 망에 의존하지 않는 독립 무선망</w:t>
      </w:r>
    </w:p>
    <w:p w14:paraId="5AFF75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외부망과 분리된 자체 폐쇄망</w:t>
      </w:r>
    </w:p>
    <w:p w14:paraId="3DD635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국가재난안전망과 연계</w:t>
      </w:r>
    </w:p>
    <w:p w14:paraId="46ACFC9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외부 해킹 및 데이터 유출 위험 차단</w:t>
      </w:r>
    </w:p>
    <w:p w14:paraId="41F8C6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현장 기지국과 보안 장비 직접 관리</w:t>
      </w:r>
    </w:p>
    <w:p w14:paraId="143815E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장애 발생 시 즉각적인 유지보수</w:t>
      </w:r>
    </w:p>
    <w:p w14:paraId="6198CBA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방사선관리구역 콘크리트 건물 내부의 통신 음영지역 최소화</w:t>
      </w:r>
    </w:p>
    <w:p w14:paraId="30C123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맑은 고딕" w:hAnsi="맑은 고딕" w:eastAsia="맑은 고딕" w:cs="맑은 고딕"/>
        </w:rPr>
      </w:pPr>
      <w:r>
        <w:rPr>
          <w:rFonts w:hint="eastAsia" w:ascii="맑은 고딕" w:hAnsi="맑은 고딕" w:eastAsia="맑은 고딕" w:cs="맑은 고딕"/>
        </w:rPr>
        <w:t>다기종 로봇 운영을 위한 연속적인 통신 환경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9A8691"/>
    <w:multiLevelType w:val="multilevel"/>
    <w:tmpl w:val="989A8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D48DCA"/>
    <w:multiLevelType w:val="multilevel"/>
    <w:tmpl w:val="ACD48D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8D59CEC"/>
    <w:multiLevelType w:val="multilevel"/>
    <w:tmpl w:val="C8D59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BAA1BB8"/>
    <w:multiLevelType w:val="multilevel"/>
    <w:tmpl w:val="DBAA1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1D9633D"/>
    <w:multiLevelType w:val="multilevel"/>
    <w:tmpl w:val="11D963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E7A9A7C"/>
    <w:multiLevelType w:val="multilevel"/>
    <w:tmpl w:val="2E7A9A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5AF905D"/>
    <w:multiLevelType w:val="multilevel"/>
    <w:tmpl w:val="35AF90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1DBC3D5"/>
    <w:multiLevelType w:val="multilevel"/>
    <w:tmpl w:val="41DBC3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85016F9"/>
    <w:multiLevelType w:val="multilevel"/>
    <w:tmpl w:val="485016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79AE5DB"/>
    <w:multiLevelType w:val="multilevel"/>
    <w:tmpl w:val="779AE5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FB0012F"/>
    <w:multiLevelType w:val="multilevel"/>
    <w:tmpl w:val="7FB001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6"/>
  </w:num>
  <w:num w:numId="7">
    <w:abstractNumId w:val="4"/>
  </w:num>
  <w:num w:numId="8">
    <w:abstractNumId w:val="7"/>
  </w:num>
  <w:num w:numId="9">
    <w:abstractNumId w:val="5"/>
  </w:num>
  <w:num w:numId="10">
    <w:abstractNumId w:val="8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C7F4A"/>
    <w:rsid w:val="0C755A7E"/>
    <w:rsid w:val="2FC97620"/>
    <w:rsid w:val="34F55E35"/>
    <w:rsid w:val="7CB77255"/>
    <w:rsid w:val="7E3C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3953</Words>
  <Characters>4450</Characters>
  <Lines>0</Lines>
  <Paragraphs>0</Paragraphs>
  <TotalTime>14</TotalTime>
  <ScaleCrop>false</ScaleCrop>
  <LinksUpToDate>false</LinksUpToDate>
  <CharactersWithSpaces>5570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2026-07-20T06:08:00Z</dcterms:created>
  <dc:creator>sangy</dc:creator>
  <cp:lastModifiedBy>Roy Jang</cp:lastModifiedBy>
  <dcterms:modified xsi:type="dcterms:W3CDTF">2026-08-10T02:24:09Z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eyJoZGlkIjoiNTdiZjkwOGU3ZjIyNDg3NDNmZWI2MjU4ZmU4YjI5MDkiLCJ1c2VySWQiOiI4ODEzOTAzODQ4MTgwIn0=</vt:lpwstr>
  </property>
  <property fmtid="{D5CDD505-2E9C-101B-9397-08002B2CF9AE}" pid="4" name="ICV">
    <vt:lpwstr>97CB70FC237249AEBDEF5612789A8459_13</vt:lpwstr>
  </property>
</Properties>
</file>