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73"/>
        </w:tabs>
        <w:bidi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tabs>
          <w:tab w:val="left" w:pos="973"/>
        </w:tabs>
        <w:bidi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数据建设总结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高</w:t>
      </w:r>
      <w:r>
        <w:rPr>
          <w:rFonts w:hint="eastAsia"/>
          <w:b/>
          <w:bCs/>
          <w:sz w:val="21"/>
          <w:szCs w:val="21"/>
          <w:lang w:val="en-US" w:eastAsia="zh-Hans"/>
        </w:rPr>
        <w:t>意向人群区分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需求：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业务反馈高价楼盘中存在很多非高消费人群的标签，使得报告结果与实际情况相差较大，需调整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过程：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取部分高价楼盘的用户标签进行校验，发现很多低消费标签用户有低频次点击高价盘的行为，故做了算法优化，保留原始真实点击数据的前提下，增加一版【高意向】用户的报告，根据楼盘均价所处城市均值的水平，划分为高、中、低三挡楼盘，并过滤低点击频次用户，再结合用户居住小区价格，线下消费场景划分消费能力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高、中、低三挡与楼盘对应，匹配核心高意向用户人群。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结果：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高意向版报告与业务认知情况相似度提高到</w:t>
      </w:r>
      <w:r>
        <w:rPr>
          <w:rFonts w:hint="default"/>
          <w:b w:val="0"/>
          <w:bCs w:val="0"/>
          <w:sz w:val="21"/>
          <w:szCs w:val="21"/>
          <w:lang w:eastAsia="zh-Hans"/>
        </w:rPr>
        <w:t>80%</w:t>
      </w:r>
      <w:r>
        <w:rPr>
          <w:rFonts w:hint="eastAsia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个别标签的认知出入可能源于线上浏览与实际线下案场的人群不同，不排除这部分人是目标楼盘潜客，故保留了部分出入结果。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出行方式标签优化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需求：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业务反馈高价楼盘中的用户驾车出行比例过低，骑行与地铁比例过高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过程：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核查驾车出行标签判断逻辑，发现判断用户有车的逻辑主要取决于个别</w:t>
      </w:r>
      <w:r>
        <w:rPr>
          <w:rFonts w:hint="default"/>
          <w:b w:val="0"/>
          <w:bCs w:val="0"/>
          <w:sz w:val="21"/>
          <w:szCs w:val="21"/>
          <w:lang w:eastAsia="zh-Hans"/>
        </w:rPr>
        <w:t>APP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是否安装，结果判定过于片面，故做了判断算法优化，添加居住地与工作地的距离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用户年龄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消费能力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线下消费场景出行频次等标签综合判断，不在局限个别</w:t>
      </w:r>
      <w:r>
        <w:rPr>
          <w:rFonts w:hint="default"/>
          <w:b w:val="0"/>
          <w:bCs w:val="0"/>
          <w:sz w:val="21"/>
          <w:szCs w:val="21"/>
          <w:lang w:eastAsia="zh-Hans"/>
        </w:rPr>
        <w:t>APP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是否安装。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结果：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校验多个楼盘报告中的用户驾车、地铁、骑行的出行方式比例符合业务认知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  <w:bookmarkStart w:id="0" w:name="_GoBack"/>
      <w:bookmarkEnd w:id="0"/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C0383"/>
    <w:rsid w:val="75BBCD14"/>
    <w:rsid w:val="BCFC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2022-06-10T10:55:00Z</dcterms:created>
  <dc:creator>See it</dc:creator>
  <cp:lastModifiedBy>See it</cp:lastModifiedBy>
  <dcterms:modified xsi:type="dcterms:W3CDTF">2022-06-10T11:41:30Z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5001C9CB6B6824F6A5B2A2620D4F4DF4</vt:lpwstr>
  </property>
</Properties>
</file>