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Do Language and Satisfaction Signals Improve One-Month-Ahead Prediction of Municipal Service Delays and Repeat Requests? Evidence from NYC 311</w:t>
      </w:r>
    </w:p>
    <w:p>
      <w:pPr>
        <w:spacing w:before="0" w:after="60" w:line="240" w:lineRule="auto"/>
        <w:jc w:val="center"/>
      </w:pPr>
      <w:r>
        <w:rPr>
          <w:rFonts w:ascii="Times New Roman" w:hAnsi="Times New Roman"/>
          <w:sz w:val="22"/>
          <w:noProof/>
        </w:rPr>
        <w:t>Taher Panbiharwala</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noProof/>
        </w:rPr>
        <w:t>Sanidhya Bhandari</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vertAlign w:val="superscript"/>
          <w:noProof/>
        </w:rPr>
        <w:t>*</w:t>
      </w:r>
      <w:r>
        <w:rPr>
          <w:rFonts w:ascii="Times New Roman" w:hAnsi="Times New Roman"/>
          <w:sz w:val="22"/>
          <w:noProof/>
        </w:rPr>
        <w:t xml:space="preserve">, </w:t>
      </w:r>
      <w:r>
        <w:rPr>
          <w:rFonts w:ascii="Times New Roman" w:hAnsi="Times New Roman"/>
          <w:sz w:val="22"/>
          <w:noProof/>
        </w:rPr>
        <w:t>Chinmoy Deb</w:t>
      </w:r>
      <w:r>
        <w:rPr>
          <w:rFonts w:ascii="Times New Roman" w:hAnsi="Times New Roman"/>
          <w:sz w:val="22"/>
          <w:vertAlign w:val="superscript"/>
          <w:noProof/>
        </w:rPr>
        <w:t>1</w:t>
      </w:r>
    </w:p>
    <w:p>
      <w:pPr>
        <w:spacing w:before="0" w:after="40" w:line="240" w:lineRule="auto"/>
        <w:jc w:val="center"/>
      </w:pPr>
      <w:r>
        <w:rPr>
          <w:rFonts w:ascii="Times New Roman" w:hAnsi="Times New Roman"/>
          <w:i/>
          <w:sz w:val="19"/>
          <w:vertAlign w:val="superscript"/>
          <w:noProof/>
        </w:rPr>
        <w:t>1</w:t>
      </w:r>
      <w:r>
        <w:rPr>
          <w:rFonts w:ascii="Times New Roman" w:hAnsi="Times New Roman"/>
          <w:i/>
          <w:sz w:val="19"/>
          <w:noProof/>
        </w:rPr>
        <w:t xml:space="preserve"> School of Computer Science and Engineering (SCOPE), Vellore Institute of Technology, Vellore, Tamil Nadu 632014, India</w:t>
      </w:r>
    </w:p>
    <w:p>
      <w:pPr>
        <w:spacing w:before="0" w:after="180" w:line="240" w:lineRule="auto"/>
        <w:jc w:val="center"/>
      </w:pPr>
      <w:r>
        <w:rPr>
          <w:rFonts w:ascii="Times New Roman" w:hAnsi="Times New Roman"/>
          <w:i/>
          <w:sz w:val="19"/>
          <w:vertAlign w:val="superscript"/>
          <w:noProof/>
        </w:rPr>
        <w:t>*</w:t>
      </w:r>
      <w:r>
        <w:rPr>
          <w:rFonts w:ascii="Times New Roman" w:hAnsi="Times New Roman"/>
          <w:i/>
          <w:sz w:val="19"/>
          <w:noProof/>
        </w:rPr>
        <w:t xml:space="preserve">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noProof/>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controlled within the ABSA split. On 994 held-out 2024 cells, the primary LightGBM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from 0.5995 to 0.4730 (Delta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 -0.1264; augmented performance was worse, paired absolute-error p = 0.1363). For repeat rate, the primary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from 0.9224 to 0.9241 (Delta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 +0.0017; the augmented model was slightly better, paired absolute-error p = 0.05281). However, simple last-value baselines reached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0.884 for delay and 0.947 for repeat rate. The result is therefore a useful negative or near-null finding: language and satisfaction signals do not consistently improve the strongest temporal benchmark. Held-out Precision@k evaluates the dashboard queue, while agency-authored text, one-city coverage, and address-based repeat proxies limit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 xml:space="preserve">The unit of analysis is a cell c = (s, b, y, m), where s denotes the service category, b the borough, y the year, and m the month. Each cell contains operational variables </w:t>
      </w:r>
      <w:r>
        <w:rPr>
          <w:rFonts w:ascii="Times New Roman" w:hAnsi="Times New Roman"/>
          <w:b w:val="0"/>
          <w:i w:val="0"/>
          <w:sz w:val="22"/>
          <w:noProof/>
        </w:rPr>
        <w:t>x</w:t>
      </w:r>
      <w:r>
        <w:rPr>
          <w:rFonts w:ascii="Times New Roman" w:hAnsi="Times New Roman"/>
          <w:b w:val="0"/>
          <w:i w:val="0"/>
          <w:sz w:val="22"/>
          <w:noProof/>
          <w:vertAlign w:val="subscript"/>
        </w:rPr>
        <w:t>c</w:t>
      </w:r>
      <w:r>
        <w:rPr>
          <w:rFonts w:ascii="Times New Roman" w:hAnsi="Times New Roman"/>
          <w:b w:val="0"/>
          <w:i w:val="0"/>
          <w:sz w:val="22"/>
          <w:noProof/>
        </w:rPr>
        <w:t xml:space="preserve">, language features </w:t>
      </w:r>
      <w:r>
        <w:rPr>
          <w:rFonts w:ascii="Times New Roman" w:hAnsi="Times New Roman"/>
          <w:b w:val="0"/>
          <w:i w:val="0"/>
          <w:sz w:val="22"/>
          <w:noProof/>
        </w:rPr>
        <w:t>z</w:t>
      </w:r>
      <w:r>
        <w:rPr>
          <w:rFonts w:ascii="Times New Roman" w:hAnsi="Times New Roman"/>
          <w:b w:val="0"/>
          <w:i w:val="0"/>
          <w:sz w:val="22"/>
          <w:noProof/>
          <w:vertAlign w:val="subscript"/>
        </w:rPr>
        <w:t>c</w:t>
      </w:r>
      <w:r>
        <w:rPr>
          <w:rFonts w:ascii="Times New Roman" w:hAnsi="Times New Roman"/>
          <w:b w:val="0"/>
          <w:i w:val="0"/>
          <w:sz w:val="22"/>
          <w:noProof/>
        </w:rPr>
        <w:t xml:space="preserve">, and the outcome vector </w:t>
      </w:r>
      <w:r>
        <w:rPr>
          <w:rFonts w:ascii="Times New Roman" w:hAnsi="Times New Roman"/>
          <w:b w:val="0"/>
          <w:i w:val="0"/>
          <w:sz w:val="22"/>
          <w:noProof/>
        </w:rPr>
        <w:t>y</w:t>
      </w:r>
      <w:r>
        <w:rPr>
          <w:rFonts w:ascii="Times New Roman" w:hAnsi="Times New Roman"/>
          <w:b w:val="0"/>
          <w:i w:val="0"/>
          <w:sz w:val="22"/>
          <w:noProof/>
          <w:vertAlign w:val="subscript"/>
        </w:rPr>
        <w:t>c</w:t>
      </w:r>
      <w:r>
        <w:rPr>
          <w:rFonts w:ascii="Times New Roman" w:hAnsi="Times New Roman"/>
          <w:b w:val="0"/>
          <w:i w:val="0"/>
          <w:sz w:val="22"/>
          <w:noProof/>
        </w:rPr>
        <w:t xml:space="preserve">. The two primary outcomes are mean resolution delay </w:t>
      </w:r>
      <w:r>
        <w:rPr>
          <w:rFonts w:ascii="Times New Roman" w:hAnsi="Times New Roman"/>
          <w:b w:val="0"/>
          <w:i w:val="0"/>
          <w:sz w:val="22"/>
          <w:noProof/>
        </w:rPr>
        <w:t>d</w:t>
      </w:r>
      <w:r>
        <w:rPr>
          <w:rFonts w:ascii="Times New Roman" w:hAnsi="Times New Roman"/>
          <w:b w:val="0"/>
          <w:i w:val="0"/>
          <w:sz w:val="22"/>
          <w:noProof/>
          <w:vertAlign w:val="subscript"/>
        </w:rPr>
        <w:t>c</w:t>
      </w:r>
      <w:r>
        <w:rPr>
          <w:rFonts w:ascii="Times New Roman" w:hAnsi="Times New Roman"/>
          <w:b w:val="0"/>
          <w:i w:val="0"/>
          <w:sz w:val="22"/>
          <w:noProof/>
        </w:rPr>
        <w:t xml:space="preserve"> in hours and the 14-day repeat-request rate </w:t>
      </w:r>
      <w:r>
        <w:rPr>
          <w:rFonts w:ascii="Times New Roman" w:hAnsi="Times New Roman"/>
          <w:b w:val="0"/>
          <w:i w:val="0"/>
          <w:sz w:val="22"/>
          <w:noProof/>
        </w:rPr>
        <w:t>r</w:t>
      </w:r>
      <w:r>
        <w:rPr>
          <w:rFonts w:ascii="Times New Roman" w:hAnsi="Times New Roman"/>
          <w:b w:val="0"/>
          <w:i w:val="0"/>
          <w:sz w:val="22"/>
          <w:noProof/>
          <w:vertAlign w:val="subscript"/>
        </w:rPr>
        <w:t>c</w:t>
      </w:r>
      <w:r>
        <w:rPr>
          <w:rFonts w:ascii="Times New Roman" w:hAnsi="Times New Roman"/>
          <w:b w:val="0"/>
          <w:i w:val="0"/>
          <w:sz w:val="22"/>
          <w:noProof/>
        </w:rPr>
        <w:t>.</w:t>
      </w:r>
    </w:p>
    <w:p>
      <w:pPr>
        <w:spacing w:before="0" w:after="6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0</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(1)</w:t>
      </w:r>
    </w:p>
    <w:p>
      <w:pPr>
        <w:spacing w:before="0" w:after="10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1</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w:t>
      </w:r>
      <w:r>
        <w:rPr>
          <w:rFonts w:ascii="Times New Roman" w:hAnsi="Times New Roman"/>
          <w:b w:val="0"/>
          <w:i/>
          <w:sz w:val="22"/>
          <w:noProof/>
        </w:rPr>
        <w:t>z</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(2)</w:t>
      </w:r>
    </w:p>
    <w:p>
      <w:pPr>
        <w:spacing w:before="0" w:after="120" w:line="259" w:lineRule="auto"/>
      </w:pPr>
      <w:r>
        <w:rPr>
          <w:rFonts w:ascii="Times New Roman" w:hAnsi="Times New Roman"/>
          <w:b w:val="0"/>
          <w:i w:val="0"/>
          <w:sz w:val="22"/>
          <w:noProof/>
        </w:rPr>
        <w:t xml:space="preserve">The baseline model </w:t>
      </w:r>
      <w:r>
        <w:rPr>
          <w:rFonts w:ascii="Times New Roman" w:hAnsi="Times New Roman"/>
          <w:b w:val="0"/>
          <w:i w:val="0"/>
          <w:sz w:val="22"/>
          <w:noProof/>
        </w:rPr>
        <w:t>f</w:t>
      </w:r>
      <w:r>
        <w:rPr>
          <w:rFonts w:ascii="Times New Roman" w:hAnsi="Times New Roman"/>
          <w:b w:val="0"/>
          <w:i w:val="0"/>
          <w:sz w:val="22"/>
          <w:noProof/>
          <w:vertAlign w:val="subscript"/>
        </w:rPr>
        <w:t>0</w:t>
      </w:r>
      <w:r>
        <w:rPr>
          <w:rFonts w:ascii="Times New Roman" w:hAnsi="Times New Roman"/>
          <w:b w:val="0"/>
          <w:i w:val="0"/>
          <w:sz w:val="22"/>
          <w:noProof/>
        </w:rPr>
        <w:t xml:space="preserve"> uses service identity, borough, request volume, and month-related variables. The augmented model </w:t>
      </w:r>
      <w:r>
        <w:rPr>
          <w:rFonts w:ascii="Times New Roman" w:hAnsi="Times New Roman"/>
          <w:b w:val="0"/>
          <w:i w:val="0"/>
          <w:sz w:val="22"/>
          <w:noProof/>
        </w:rPr>
        <w:t>f</w:t>
      </w:r>
      <w:r>
        <w:rPr>
          <w:rFonts w:ascii="Times New Roman" w:hAnsi="Times New Roman"/>
          <w:b w:val="0"/>
          <w:i w:val="0"/>
          <w:sz w:val="22"/>
          <w:noProof/>
          <w:vertAlign w:val="subscript"/>
        </w:rPr>
        <w:t>1</w:t>
      </w:r>
      <w:r>
        <w:rPr>
          <w:rFonts w:ascii="Times New Roman" w:hAnsi="Times New Roman"/>
          <w:b w:val="0"/>
          <w:i w:val="0"/>
          <w:sz w:val="22"/>
          <w:noProof/>
        </w:rPr>
        <w:t xml:space="preserve"> adds VADER, topic, ABSA, and satisfaction features. We measure the change in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as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_augmented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_baseline.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w:t>
      </w:r>
    </w:p>
    <w:p>
      <w:pPr>
        <w:spacing w:before="0" w:after="120" w:line="259" w:lineRule="auto"/>
      </w:pPr>
      <w:r>
        <w:rPr>
          <w:rFonts w:ascii="Times New Roman" w:hAnsi="Times New Roman"/>
          <w:b w:val="0"/>
          <w:i w:val="0"/>
          <w:sz w:val="22"/>
        </w:rPr>
        <w:t>The second source is the NYC 311 Resolution Satisfaction Survey (RSAT; Socrata identifier 5ijn-vbdv). After study-period, borough, and Likert-value checks, 406,581 survey responses remained in the analytic sample.</w:t>
      </w:r>
    </w:p>
    <w:p>
      <w:pPr>
        <w:spacing w:before="80" w:after="80" w:line="240" w:lineRule="auto"/>
      </w:pPr>
      <w:r>
        <w:rPr>
          <w:rFonts w:ascii="Times New Roman" w:hAnsi="Times New Roman"/>
          <w:b/>
          <w:sz w:val="19"/>
        </w:rPr>
        <w:t>Table 3. RSAT headline count versus the audited analytic count. The difference is caused by study-window and validation filters.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1655"/>
            <w:shd w:fill="D9EAF2"/>
            <w:vAlign w:val="center"/>
          </w:tcPr>
          <w:p>
            <w:pPr>
              <w:spacing w:before="0" w:after="0" w:line="240" w:lineRule="auto"/>
              <w:jc w:val="center"/>
            </w:pPr>
            <w:r>
              <w:rPr>
                <w:rFonts w:ascii="Times New Roman" w:hAnsi="Times New Roman"/>
                <w:b/>
                <w:sz w:val="17"/>
              </w:rPr>
              <w:t>RSAT count</w:t>
            </w:r>
          </w:p>
        </w:tc>
        <w:tc>
          <w:tcPr>
            <w:tcW w:type="dxa" w:w="4104"/>
            <w:shd w:fill="D9EAF2"/>
            <w:vAlign w:val="center"/>
          </w:tcPr>
          <w:p>
            <w:pPr>
              <w:spacing w:before="0" w:after="0" w:line="240" w:lineRule="auto"/>
              <w:jc w:val="center"/>
            </w:pPr>
            <w:r>
              <w:rPr>
                <w:rFonts w:ascii="Times New Roman" w:hAnsi="Times New Roman"/>
                <w:b/>
                <w:sz w:val="17"/>
              </w:rPr>
              <w:t>Meaning</w:t>
            </w:r>
          </w:p>
        </w:tc>
        <w:tc>
          <w:tcPr>
            <w:tcW w:type="dxa" w:w="3384"/>
            <w:shd w:fill="D9EAF2"/>
            <w:vAlign w:val="center"/>
          </w:tcPr>
          <w:p>
            <w:pPr>
              <w:spacing w:before="0" w:after="0" w:line="240" w:lineRule="auto"/>
              <w:jc w:val="center"/>
            </w:pPr>
            <w:r>
              <w:rPr>
                <w:rFonts w:ascii="Times New Roman" w:hAnsi="Times New Roman"/>
                <w:b/>
                <w:sz w:val="17"/>
              </w:rPr>
              <w:t>Use in this study</w:t>
            </w:r>
          </w:p>
        </w:tc>
      </w:tr>
      <w:tr>
        <w:tc>
          <w:tcPr>
            <w:tcW w:type="dxa" w:w="1655"/>
            <w:vAlign w:val="center"/>
          </w:tcPr>
          <w:p>
            <w:pPr>
              <w:spacing w:before="0" w:after="0" w:line="240" w:lineRule="auto"/>
              <w:jc w:val="left"/>
            </w:pPr>
            <w:r>
              <w:rPr>
                <w:rFonts w:ascii="Times New Roman" w:hAnsi="Times New Roman"/>
                <w:sz w:val="16"/>
              </w:rPr>
              <w:t>Portal headline</w:t>
            </w:r>
          </w:p>
        </w:tc>
        <w:tc>
          <w:tcPr>
            <w:tcW w:type="dxa" w:w="4104"/>
            <w:vAlign w:val="center"/>
          </w:tcPr>
          <w:p>
            <w:pPr>
              <w:spacing w:before="0" w:after="0" w:line="240" w:lineRule="auto"/>
              <w:jc w:val="center"/>
            </w:pPr>
            <w:r>
              <w:rPr>
                <w:rFonts w:ascii="Times New Roman" w:hAnsi="Times New Roman"/>
                <w:sz w:val="16"/>
              </w:rPr>
              <w:t>All records shown by the public portal</w:t>
            </w:r>
          </w:p>
        </w:tc>
        <w:tc>
          <w:tcPr>
            <w:tcW w:type="dxa" w:w="3384"/>
            <w:vAlign w:val="center"/>
          </w:tcPr>
          <w:p>
            <w:pPr>
              <w:spacing w:before="0" w:after="0" w:line="240" w:lineRule="auto"/>
              <w:jc w:val="center"/>
            </w:pPr>
            <w:r>
              <w:rPr>
                <w:rFonts w:ascii="Times New Roman" w:hAnsi="Times New Roman"/>
                <w:sz w:val="16"/>
              </w:rPr>
              <w:t>Not used as the analytic sample</w:t>
            </w:r>
          </w:p>
        </w:tc>
      </w:tr>
      <w:tr>
        <w:tc>
          <w:tcPr>
            <w:tcW w:type="dxa" w:w="1655"/>
            <w:vAlign w:val="center"/>
          </w:tcPr>
          <w:p>
            <w:pPr>
              <w:spacing w:before="0" w:after="0" w:line="240" w:lineRule="auto"/>
              <w:jc w:val="left"/>
            </w:pPr>
            <w:r>
              <w:rPr>
                <w:rFonts w:ascii="Times New Roman" w:hAnsi="Times New Roman"/>
                <w:sz w:val="16"/>
              </w:rPr>
              <w:t>406,581</w:t>
            </w:r>
          </w:p>
        </w:tc>
        <w:tc>
          <w:tcPr>
            <w:tcW w:type="dxa" w:w="4104"/>
            <w:vAlign w:val="center"/>
          </w:tcPr>
          <w:p>
            <w:pPr>
              <w:spacing w:before="0" w:after="0" w:line="240" w:lineRule="auto"/>
              <w:jc w:val="center"/>
            </w:pPr>
            <w:r>
              <w:rPr>
                <w:rFonts w:ascii="Times New Roman" w:hAnsi="Times New Roman"/>
                <w:sz w:val="16"/>
              </w:rPr>
              <w:t>Validated study-period responses with usable Likert values</w:t>
            </w:r>
          </w:p>
        </w:tc>
        <w:tc>
          <w:tcPr>
            <w:tcW w:type="dxa" w:w="3384"/>
            <w:vAlign w:val="center"/>
          </w:tcPr>
          <w:p>
            <w:pPr>
              <w:spacing w:before="0" w:after="0" w:line="240" w:lineRule="auto"/>
              <w:jc w:val="center"/>
            </w:pPr>
            <w:r>
              <w:rPr>
                <w:rFonts w:ascii="Times New Roman" w:hAnsi="Times New Roman"/>
                <w:sz w:val="16"/>
              </w:rPr>
              <w:t>Used for aggregate satisfaction and standardised grievance features</w:t>
            </w:r>
          </w:p>
        </w:tc>
      </w:tr>
    </w:tbl>
    <w:p>
      <w:pPr>
        <w:spacing w:after="40"/>
      </w:pPr>
    </w:p>
    <w:p>
      <w:pPr>
        <w:spacing w:before="0" w:after="120" w:line="259" w:lineRule="auto"/>
      </w:pPr>
      <w:r>
        <w:rPr>
          <w:rFonts w:ascii="Times New Roman" w:hAnsi="Times New Roman"/>
          <w:b w:val="0"/>
          <w:i w:val="0"/>
          <w:sz w:val="22"/>
        </w:rPr>
        <w:t>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lagged target outcome is never included as a predictor; only the previous month's observed feature values are used. The original same-month model is retained only as a secondary monitoring analysis and is not presented as a pre-closure ticket forecast.</w:t>
      </w:r>
    </w:p>
    <w:p>
      <w:pPr>
        <w:spacing w:before="80" w:after="80" w:line="240" w:lineRule="auto"/>
      </w:pPr>
      <w:r>
        <w:rPr>
          <w:rFonts w:ascii="Times New Roman" w:hAnsi="Times New Roman"/>
          <w:b/>
          <w:sz w:val="19"/>
        </w:rPr>
        <w:t>Table 2. Explicit feature inventory. All predictors are observed at month t; target outcomes at month t+1 are excluded from the feature matrix.</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513"/>
        <w:gridCol w:w="4513"/>
      </w:tblGrid>
      <w:tr>
        <w:trPr>
          <w:tblHeader w:val="true"/>
        </w:trPr>
        <w:tc>
          <w:tcPr>
            <w:tcW w:type="dxa" w:w="1944"/>
            <w:shd w:fill="D9EAF2"/>
            <w:vAlign w:val="center"/>
          </w:tcPr>
          <w:p>
            <w:pPr>
              <w:spacing w:before="0" w:after="0" w:line="240" w:lineRule="auto"/>
              <w:jc w:val="center"/>
            </w:pPr>
            <w:r>
              <w:rPr>
                <w:rFonts w:ascii="Times New Roman" w:hAnsi="Times New Roman"/>
                <w:b/>
                <w:sz w:val="17"/>
              </w:rPr>
              <w:t>Feature family</w:t>
            </w:r>
          </w:p>
        </w:tc>
        <w:tc>
          <w:tcPr>
            <w:tcW w:type="dxa" w:w="7200"/>
            <w:shd w:fill="D9EAF2"/>
            <w:vAlign w:val="center"/>
          </w:tcPr>
          <w:p>
            <w:pPr>
              <w:spacing w:before="0" w:after="0" w:line="240" w:lineRule="auto"/>
              <w:jc w:val="center"/>
            </w:pPr>
            <w:r>
              <w:rPr>
                <w:rFonts w:ascii="Times New Roman" w:hAnsi="Times New Roman"/>
                <w:b/>
                <w:sz w:val="17"/>
              </w:rPr>
              <w:t>Variables used in the primary LightGBM comparison</w:t>
            </w:r>
          </w:p>
        </w:tc>
      </w:tr>
      <w:tr>
        <w:tc>
          <w:tcPr>
            <w:tcW w:type="dxa" w:w="1944"/>
            <w:vAlign w:val="center"/>
          </w:tcPr>
          <w:p>
            <w:pPr>
              <w:spacing w:before="0" w:after="0" w:line="240" w:lineRule="auto"/>
              <w:jc w:val="left"/>
            </w:pPr>
            <w:r>
              <w:rPr>
                <w:rFonts w:ascii="Times New Roman" w:hAnsi="Times New Roman"/>
                <w:sz w:val="16"/>
              </w:rPr>
              <w:t>Structured</w:t>
            </w:r>
          </w:p>
        </w:tc>
        <w:tc>
          <w:tcPr>
            <w:tcW w:type="dxa" w:w="7200"/>
            <w:vAlign w:val="center"/>
          </w:tcPr>
          <w:p>
            <w:pPr>
              <w:spacing w:before="0" w:after="0" w:line="240" w:lineRule="auto"/>
              <w:jc w:val="center"/>
            </w:pPr>
            <w:r>
              <w:rPr>
                <w:rFonts w:ascii="Times New Roman" w:hAnsi="Times New Roman"/>
                <w:sz w:val="16"/>
              </w:rPr>
              <w:t>log_request_volume, month_sin, month_cos, borough_BRONX, borough_BROOKLYN, borough_MANHATTAN, borough_QUEENS, borough_STATEN ISLAND, service_ABANDONED VEHICLE, service_BLOCKED DRIVEWAY, service_DAMAGED TREE, service_DIRTY CONDITION, service_ENCAMPMENT, service_HEAT/HOT WATER, service_ILLEGAL DUMPING, service_ILLEGAL PARKING, service_MISSED COLLECTION, service_NOISE, service_NOISE - COMMERCIAL, service_NOISE - RESIDENTIAL, service_NOISE - STREET/SIDEWALK, service_PAINT/PLASTER, service_PLUMBING, service_SEWER MAINTENANCE, service_STREET CONDITION, service_UNSANITARY CONDITION, service_WATER MAINTENANCE</w:t>
            </w:r>
          </w:p>
        </w:tc>
      </w:tr>
      <w:tr>
        <w:tc>
          <w:tcPr>
            <w:tcW w:type="dxa" w:w="1944"/>
            <w:vAlign w:val="center"/>
          </w:tcPr>
          <w:p>
            <w:pPr>
              <w:spacing w:before="0" w:after="0" w:line="240" w:lineRule="auto"/>
              <w:jc w:val="left"/>
            </w:pPr>
            <w:r>
              <w:rPr>
                <w:rFonts w:ascii="Times New Roman" w:hAnsi="Times New Roman"/>
                <w:sz w:val="16"/>
              </w:rPr>
              <w:t>VADER</w:t>
            </w:r>
          </w:p>
        </w:tc>
        <w:tc>
          <w:tcPr>
            <w:tcW w:type="dxa" w:w="7200"/>
            <w:vAlign w:val="center"/>
          </w:tcPr>
          <w:p>
            <w:pPr>
              <w:spacing w:before="0" w:after="0" w:line="240" w:lineRule="auto"/>
              <w:jc w:val="center"/>
            </w:pPr>
            <w:r>
              <w:rPr>
                <w:rFonts w:ascii="Times New Roman" w:hAnsi="Times New Roman"/>
                <w:sz w:val="16"/>
              </w:rPr>
              <w:t>mean_vader_score, vader_pos_rate, vader_neg_rate, std_vader_score</w:t>
            </w:r>
          </w:p>
        </w:tc>
      </w:tr>
      <w:tr>
        <w:tc>
          <w:tcPr>
            <w:tcW w:type="dxa" w:w="1944"/>
            <w:vAlign w:val="center"/>
          </w:tcPr>
          <w:p>
            <w:pPr>
              <w:spacing w:before="0" w:after="0" w:line="240" w:lineRule="auto"/>
              <w:jc w:val="left"/>
            </w:pPr>
            <w:r>
              <w:rPr>
                <w:rFonts w:ascii="Times New Roman" w:hAnsi="Times New Roman"/>
                <w:sz w:val="16"/>
              </w:rPr>
              <w:t>Topics</w:t>
            </w:r>
          </w:p>
        </w:tc>
        <w:tc>
          <w:tcPr>
            <w:tcW w:type="dxa" w:w="7200"/>
            <w:vAlign w:val="center"/>
          </w:tcPr>
          <w:p>
            <w:pPr>
              <w:spacing w:before="0" w:after="0" w:line="240" w:lineRule="auto"/>
              <w:jc w:val="center"/>
            </w:pPr>
            <w:r>
              <w:rPr>
                <w:rFonts w:ascii="Times New Roman" w:hAnsi="Times New Roman"/>
                <w:sz w:val="16"/>
              </w:rPr>
              <w:t>dominant_topic_mode, topic_entropy, dominant_bertopic_mode, bertopic_outlier_rate</w:t>
            </w:r>
          </w:p>
        </w:tc>
      </w:tr>
      <w:tr>
        <w:tc>
          <w:tcPr>
            <w:tcW w:type="dxa" w:w="1944"/>
            <w:vAlign w:val="center"/>
          </w:tcPr>
          <w:p>
            <w:pPr>
              <w:spacing w:before="0" w:after="0" w:line="240" w:lineRule="auto"/>
              <w:jc w:val="left"/>
            </w:pPr>
            <w:r>
              <w:rPr>
                <w:rFonts w:ascii="Times New Roman" w:hAnsi="Times New Roman"/>
                <w:sz w:val="16"/>
              </w:rPr>
              <w:t>ABSA</w:t>
            </w:r>
          </w:p>
        </w:tc>
        <w:tc>
          <w:tcPr>
            <w:tcW w:type="dxa" w:w="7200"/>
            <w:vAlign w:val="center"/>
          </w:tcPr>
          <w:p>
            <w:pPr>
              <w:spacing w:before="0" w:after="0" w:line="240" w:lineRule="auto"/>
              <w:jc w:val="center"/>
            </w:pPr>
            <w:r>
              <w:rPr>
                <w:rFonts w:ascii="Times New Roman" w:hAnsi="Times New Roman"/>
                <w:sz w:val="16"/>
              </w:rPr>
              <w:t>is_aspect_information_intake, is_aspect_issue_correction, is_aspect_other, is_aspect_response_time, is_aspect_status_updates, is_aspect_work_quality</w:t>
            </w:r>
          </w:p>
        </w:tc>
      </w:tr>
      <w:tr>
        <w:tc>
          <w:tcPr>
            <w:tcW w:type="dxa" w:w="1944"/>
            <w:vAlign w:val="center"/>
          </w:tcPr>
          <w:p>
            <w:pPr>
              <w:spacing w:before="0" w:after="0" w:line="240" w:lineRule="auto"/>
              <w:jc w:val="left"/>
            </w:pPr>
            <w:r>
              <w:rPr>
                <w:rFonts w:ascii="Times New Roman" w:hAnsi="Times New Roman"/>
                <w:sz w:val="16"/>
              </w:rPr>
              <w:t>RSAT satisfaction</w:t>
            </w:r>
          </w:p>
        </w:tc>
        <w:tc>
          <w:tcPr>
            <w:tcW w:type="dxa" w:w="7200"/>
            <w:vAlign w:val="center"/>
          </w:tcPr>
          <w:p>
            <w:pPr>
              <w:spacing w:before="0" w:after="0" w:line="240" w:lineRule="auto"/>
              <w:jc w:val="center"/>
            </w:pPr>
            <w:r>
              <w:rPr>
                <w:rFonts w:ascii="Times New Roman" w:hAnsi="Times New Roman"/>
                <w:sz w:val="16"/>
              </w:rPr>
              <w:t>citizen_dissatisfaction_rate, citizen_satisfaction_rate</w:t>
            </w:r>
          </w:p>
        </w:tc>
      </w:tr>
    </w:tbl>
    <w:p>
      <w:pPr>
        <w:spacing w:after="40"/>
      </w:pP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RSAT survey-response counts by service and borough for cells meeting the minimum response threshold; this is a survey-count heatmap, not a count of integrated cell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RSAT survey-response counts by service and borough for cells meeting the minimum response threshold; this is a survey-count heatmap, not a count of integrated cells.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r>
    </w:p>
    <w:p>
      <w:pPr>
        <w:spacing w:before="0" w:after="120" w:line="259" w:lineRule="auto"/>
      </w:pPr>
      <w:r>
        <w:rPr>
          <w:rFonts w:ascii="Times New Roman" w:hAnsi="Times New Roman"/>
          <w:b w:val="0"/>
          <w:i w:val="0"/>
          <w:sz w:val="22"/>
          <w:noProof/>
        </w:rPr>
        <w:t xml:space="preserve">For topic discovery, Gensim LDA was fitted with 10 topics and evaluated with </w:t>
      </w:r>
      <w:r>
        <w:rPr>
          <w:rFonts w:ascii="Times New Roman" w:hAnsi="Times New Roman"/>
          <w:b w:val="0"/>
          <w:i w:val="0"/>
          <w:sz w:val="22"/>
          <w:noProof/>
        </w:rPr>
        <w:t>C</w:t>
      </w:r>
      <w:r>
        <w:rPr>
          <w:rFonts w:ascii="Times New Roman" w:hAnsi="Times New Roman"/>
          <w:b w:val="0"/>
          <w:i w:val="0"/>
          <w:sz w:val="22"/>
          <w:vertAlign w:val="subscript"/>
          <w:noProof/>
        </w:rPr>
        <w:t>v</w:t>
      </w:r>
      <w:r>
        <w:rPr>
          <w:rFonts w:ascii="Times New Roman" w:hAnsi="Times New Roman"/>
          <w:b w:val="0"/>
          <w:i w:val="0"/>
          <w:sz w:val="22"/>
          <w:noProof/>
        </w:rPr>
        <w:t xml:space="preserve">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r>
    </w:p>
    <w:p>
      <w:pPr>
        <w:spacing w:before="0" w:after="120" w:line="259" w:lineRule="auto"/>
      </w:pPr>
      <w:r>
        <w:rPr>
          <w:rFonts w:ascii="Times New Roman" w:hAnsi="Times New Roman"/>
          <w:b w:val="0"/>
          <w:i w:val="0"/>
          <w:sz w:val="22"/>
        </w:rPr>
        <w:t>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w:t>
      </w:r>
    </w:p>
    <w:p>
      <w:pPr>
        <w:spacing w:before="0" w:after="120" w:line="259" w:lineRule="auto"/>
      </w:pPr>
      <w:r>
        <w:rPr>
          <w:rFonts w:ascii="Times New Roman" w:hAnsi="Times New Roman"/>
          <w:b w:val="0"/>
          <w:i w:val="0"/>
          <w:sz w:val="22"/>
        </w:rPr>
        <w:t>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r>
    </w:p>
    <w:p>
      <w:pPr>
        <w:spacing w:before="0" w:after="120" w:line="259" w:lineRule="auto"/>
      </w:pPr>
      <w:r>
        <w:rPr>
          <w:rFonts w:ascii="Times New Roman" w:hAnsi="Times New Roman"/>
          <w:b w:val="0"/>
          <w:i w:val="0"/>
          <w:sz w:val="22"/>
        </w:rPr>
        <w:t>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noProof/>
        </w:rP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br/>
        <w:br/>
        <w:t xml:space="preserve">    Ridge regression, Random Forest, and LightGBM were compared. For a single coherent primary analysis, LightGBM is used for both targets in the headline comparison, the robustness runs, the SHAP analysis, and the dashboard evidence; Ridge and Random Forest are comparison models. We also report last-value and 12-month seasonal-naive baselines. The reported p-value is from a two-sided paired t-test on per-cell absolute errors for baseline and augmented predictions. It is not a direct significance test of the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difference. A negative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or a higher augmented MAE means that the language/satisfaction model performed worse.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with Precision@k, lift over random, and NDCG@k.</w:t>
      </w:r>
    </w:p>
    <w:p>
      <w:pPr>
        <w:spacing w:before="80" w:after="80" w:line="240" w:lineRule="auto"/>
      </w:pPr>
      <w:r>
        <w:rPr>
          <w:rFonts w:ascii="Times New Roman" w:hAnsi="Times New Roman"/>
          <w:b/>
          <w:sz w:val="19"/>
        </w:rPr>
        <w:t>Table 4.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model artifacts, and a 20-test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pPr>
        <w:spacing w:before="80" w:after="80" w:line="240" w:lineRule="auto"/>
      </w:pPr>
      <w:r>
        <w:rPr>
          <w:rFonts w:ascii="Times New Roman" w:hAnsi="Times New Roman"/>
          <w:b/>
          <w:sz w:val="19"/>
        </w:rPr>
        <w:t>Table 5.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noProof/>
              </w:rPr>
              <w:t>C</w:t>
            </w:r>
            <w:r>
              <w:rPr>
                <w:rFonts w:ascii="Times New Roman" w:hAnsi="Times New Roman"/>
                <w:sz w:val="16"/>
                <w:vertAlign w:val="subscript"/>
                <w:noProof/>
              </w:rPr>
              <w:t>v</w:t>
            </w:r>
            <w:r>
              <w:rPr>
                <w:rFonts w:ascii="Times New Roman" w:hAnsi="Times New Roman"/>
                <w:sz w:val="16"/>
                <w:noProof/>
              </w:rPr>
              <w:t xml:space="preserve">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With six classes, uniform random macro-F1 is approximately 0.167, so these results are at or below chance level. The aspect-rate features are therefore retained as a documented failure of agency boilerplate to provide a reliable proxy for citizen voice, not as evidence of successful ABSA.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spacing w:before="80" w:after="80" w:line="240" w:lineRule="auto"/>
      </w:pPr>
      <w:r>
        <w:rPr>
          <w:rFonts w:ascii="Times New Roman" w:hAnsi="Times New Roman"/>
          <w:b/>
          <w:sz w:val="19"/>
        </w:rPr>
        <w:t>Table 6. Naive forecasting baselines on the untouched 2024 cells. The last-value baseline uses the previous month's outcome for the same service-borough cell; the seasonal-naive baseline uses the same calendar month one year earlier, with documented aggregate fallback when a cell is absent.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05"/>
        <w:gridCol w:w="1805"/>
        <w:gridCol w:w="1805"/>
        <w:gridCol w:w="1805"/>
        <w:gridCol w:w="1805"/>
      </w:tblGrid>
      <w:tr>
        <w:trPr>
          <w:tblHeader w:val="true"/>
        </w:trPr>
        <w:tc>
          <w:tcPr>
            <w:tcW w:type="dxa" w:w="1944"/>
            <w:shd w:fill="D9EAF2"/>
            <w:vAlign w:val="center"/>
          </w:tcPr>
          <w:p>
            <w:pPr>
              <w:spacing w:before="0" w:after="0" w:line="240" w:lineRule="auto"/>
              <w:jc w:val="center"/>
            </w:pPr>
            <w:r>
              <w:rPr>
                <w:rFonts w:ascii="Times New Roman" w:hAnsi="Times New Roman"/>
                <w:b/>
                <w:sz w:val="17"/>
              </w:rPr>
              <w:t>Target</w:t>
            </w:r>
          </w:p>
        </w:tc>
        <w:tc>
          <w:tcPr>
            <w:tcW w:type="dxa" w:w="3671"/>
            <w:shd w:fill="D9EAF2"/>
            <w:vAlign w:val="center"/>
          </w:tcPr>
          <w:p>
            <w:pPr>
              <w:spacing w:before="0" w:after="0" w:line="240" w:lineRule="auto"/>
              <w:jc w:val="center"/>
            </w:pPr>
            <w:r>
              <w:rPr>
                <w:rFonts w:ascii="Times New Roman" w:hAnsi="Times New Roman"/>
                <w:b/>
                <w:sz w:val="17"/>
              </w:rPr>
              <w:t>Baseline</w:t>
            </w:r>
          </w:p>
        </w:tc>
        <w:tc>
          <w:tcPr>
            <w:tcW w:type="dxa" w:w="1224"/>
            <w:shd w:fill="D9EAF2"/>
            <w:vAlign w:val="center"/>
          </w:tcPr>
          <w:p>
            <w:pPr>
              <w:spacing w:before="0" w:after="0" w:line="240" w:lineRule="auto"/>
              <w:jc w:val="center"/>
            </w:pPr>
            <w:r>
              <w:rPr>
                <w:rFonts w:ascii="Times New Roman" w:hAnsi="Times New Roman"/>
                <w:b/>
                <w:sz w:val="17"/>
                <w:noProof/>
              </w:rPr>
              <w:t>R</w:t>
            </w:r>
            <w:r>
              <w:rPr>
                <w:rFonts w:ascii="Times New Roman" w:hAnsi="Times New Roman"/>
                <w:b/>
                <w:sz w:val="17"/>
                <w:vertAlign w:val="superscript"/>
                <w:noProof/>
              </w:rPr>
              <w:t>2</w:t>
            </w:r>
          </w:p>
        </w:tc>
        <w:tc>
          <w:tcPr>
            <w:tcW w:type="dxa" w:w="1224"/>
            <w:shd w:fill="D9EAF2"/>
            <w:vAlign w:val="center"/>
          </w:tcPr>
          <w:p>
            <w:pPr>
              <w:spacing w:before="0" w:after="0" w:line="240" w:lineRule="auto"/>
              <w:jc w:val="center"/>
            </w:pPr>
            <w:r>
              <w:rPr>
                <w:rFonts w:ascii="Times New Roman" w:hAnsi="Times New Roman"/>
                <w:b/>
                <w:sz w:val="17"/>
              </w:rPr>
              <w:t>MAE</w:t>
            </w:r>
          </w:p>
        </w:tc>
        <w:tc>
          <w:tcPr>
            <w:tcW w:type="dxa" w:w="1224"/>
            <w:shd w:fill="D9EAF2"/>
            <w:vAlign w:val="center"/>
          </w:tcPr>
          <w:p>
            <w:pPr>
              <w:spacing w:before="0" w:after="0" w:line="240" w:lineRule="auto"/>
              <w:jc w:val="center"/>
            </w:pPr>
            <w:r>
              <w:rPr>
                <w:rFonts w:ascii="Times New Roman" w:hAnsi="Times New Roman"/>
                <w:b/>
                <w:sz w:val="17"/>
              </w:rPr>
              <w:t>RMSE</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3671"/>
            <w:vAlign w:val="center"/>
          </w:tcPr>
          <w:p>
            <w:pPr>
              <w:spacing w:before="0" w:after="0" w:line="240" w:lineRule="auto"/>
              <w:jc w:val="center"/>
            </w:pPr>
            <w:r>
              <w:rPr>
                <w:rFonts w:ascii="Times New Roman" w:hAnsi="Times New Roman"/>
                <w:sz w:val="16"/>
              </w:rPr>
              <w:t>Last-value (previous month)</w:t>
            </w:r>
          </w:p>
        </w:tc>
        <w:tc>
          <w:tcPr>
            <w:tcW w:type="dxa" w:w="1224"/>
            <w:vAlign w:val="center"/>
          </w:tcPr>
          <w:p>
            <w:pPr>
              <w:spacing w:before="0" w:after="0" w:line="240" w:lineRule="auto"/>
              <w:jc w:val="center"/>
            </w:pPr>
            <w:r>
              <w:rPr>
                <w:rFonts w:ascii="Times New Roman" w:hAnsi="Times New Roman"/>
                <w:sz w:val="16"/>
              </w:rPr>
              <w:t>0.8839</w:t>
            </w:r>
          </w:p>
        </w:tc>
        <w:tc>
          <w:tcPr>
            <w:tcW w:type="dxa" w:w="1224"/>
            <w:vAlign w:val="center"/>
          </w:tcPr>
          <w:p>
            <w:pPr>
              <w:spacing w:before="0" w:after="0" w:line="240" w:lineRule="auto"/>
              <w:jc w:val="center"/>
            </w:pPr>
            <w:r>
              <w:rPr>
                <w:rFonts w:ascii="Times New Roman" w:hAnsi="Times New Roman"/>
                <w:sz w:val="16"/>
              </w:rPr>
              <w:t>29.1587</w:t>
            </w:r>
          </w:p>
        </w:tc>
        <w:tc>
          <w:tcPr>
            <w:tcW w:type="dxa" w:w="1224"/>
            <w:vAlign w:val="center"/>
          </w:tcPr>
          <w:p>
            <w:pPr>
              <w:spacing w:before="0" w:after="0" w:line="240" w:lineRule="auto"/>
              <w:jc w:val="center"/>
            </w:pPr>
            <w:r>
              <w:rPr>
                <w:rFonts w:ascii="Times New Roman" w:hAnsi="Times New Roman"/>
                <w:sz w:val="16"/>
              </w:rPr>
              <w:t>61.1642</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3671"/>
            <w:vAlign w:val="center"/>
          </w:tcPr>
          <w:p>
            <w:pPr>
              <w:spacing w:before="0" w:after="0" w:line="240" w:lineRule="auto"/>
              <w:jc w:val="center"/>
            </w:pPr>
            <w:r>
              <w:rPr>
                <w:rFonts w:ascii="Times New Roman" w:hAnsi="Times New Roman"/>
                <w:sz w:val="16"/>
              </w:rPr>
              <w:t>Seasonal-naive (same month, previous year)</w:t>
            </w:r>
          </w:p>
        </w:tc>
        <w:tc>
          <w:tcPr>
            <w:tcW w:type="dxa" w:w="1224"/>
            <w:vAlign w:val="center"/>
          </w:tcPr>
          <w:p>
            <w:pPr>
              <w:spacing w:before="0" w:after="0" w:line="240" w:lineRule="auto"/>
              <w:jc w:val="center"/>
            </w:pPr>
            <w:r>
              <w:rPr>
                <w:rFonts w:ascii="Times New Roman" w:hAnsi="Times New Roman"/>
                <w:sz w:val="16"/>
              </w:rPr>
              <w:t>0.4625</w:t>
            </w:r>
          </w:p>
        </w:tc>
        <w:tc>
          <w:tcPr>
            <w:tcW w:type="dxa" w:w="1224"/>
            <w:vAlign w:val="center"/>
          </w:tcPr>
          <w:p>
            <w:pPr>
              <w:spacing w:before="0" w:after="0" w:line="240" w:lineRule="auto"/>
              <w:jc w:val="center"/>
            </w:pPr>
            <w:r>
              <w:rPr>
                <w:rFonts w:ascii="Times New Roman" w:hAnsi="Times New Roman"/>
                <w:sz w:val="16"/>
              </w:rPr>
              <w:t>57.5598</w:t>
            </w:r>
          </w:p>
        </w:tc>
        <w:tc>
          <w:tcPr>
            <w:tcW w:type="dxa" w:w="1224"/>
            <w:vAlign w:val="center"/>
          </w:tcPr>
          <w:p>
            <w:pPr>
              <w:spacing w:before="0" w:after="0" w:line="240" w:lineRule="auto"/>
              <w:jc w:val="center"/>
            </w:pPr>
            <w:r>
              <w:rPr>
                <w:rFonts w:ascii="Times New Roman" w:hAnsi="Times New Roman"/>
                <w:sz w:val="16"/>
              </w:rPr>
              <w:t>131.6249</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3671"/>
            <w:vAlign w:val="center"/>
          </w:tcPr>
          <w:p>
            <w:pPr>
              <w:spacing w:before="0" w:after="0" w:line="240" w:lineRule="auto"/>
              <w:jc w:val="center"/>
            </w:pPr>
            <w:r>
              <w:rPr>
                <w:rFonts w:ascii="Times New Roman" w:hAnsi="Times New Roman"/>
                <w:sz w:val="16"/>
              </w:rPr>
              <w:t>Last-value (previous month)</w:t>
            </w:r>
          </w:p>
        </w:tc>
        <w:tc>
          <w:tcPr>
            <w:tcW w:type="dxa" w:w="1224"/>
            <w:vAlign w:val="center"/>
          </w:tcPr>
          <w:p>
            <w:pPr>
              <w:spacing w:before="0" w:after="0" w:line="240" w:lineRule="auto"/>
              <w:jc w:val="center"/>
            </w:pPr>
            <w:r>
              <w:rPr>
                <w:rFonts w:ascii="Times New Roman" w:hAnsi="Times New Roman"/>
                <w:sz w:val="16"/>
              </w:rPr>
              <w:t>0.9469</w:t>
            </w:r>
          </w:p>
        </w:tc>
        <w:tc>
          <w:tcPr>
            <w:tcW w:type="dxa" w:w="1224"/>
            <w:vAlign w:val="center"/>
          </w:tcPr>
          <w:p>
            <w:pPr>
              <w:spacing w:before="0" w:after="0" w:line="240" w:lineRule="auto"/>
              <w:jc w:val="center"/>
            </w:pPr>
            <w:r>
              <w:rPr>
                <w:rFonts w:ascii="Times New Roman" w:hAnsi="Times New Roman"/>
                <w:sz w:val="16"/>
              </w:rPr>
              <w:t>0.0303</w:t>
            </w:r>
          </w:p>
        </w:tc>
        <w:tc>
          <w:tcPr>
            <w:tcW w:type="dxa" w:w="1224"/>
            <w:vAlign w:val="center"/>
          </w:tcPr>
          <w:p>
            <w:pPr>
              <w:spacing w:before="0" w:after="0" w:line="240" w:lineRule="auto"/>
              <w:jc w:val="center"/>
            </w:pPr>
            <w:r>
              <w:rPr>
                <w:rFonts w:ascii="Times New Roman" w:hAnsi="Times New Roman"/>
                <w:sz w:val="16"/>
              </w:rPr>
              <w:t>0.0413</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3671"/>
            <w:vAlign w:val="center"/>
          </w:tcPr>
          <w:p>
            <w:pPr>
              <w:spacing w:before="0" w:after="0" w:line="240" w:lineRule="auto"/>
              <w:jc w:val="center"/>
            </w:pPr>
            <w:r>
              <w:rPr>
                <w:rFonts w:ascii="Times New Roman" w:hAnsi="Times New Roman"/>
                <w:sz w:val="16"/>
              </w:rPr>
              <w:t>Seasonal-naive (same month, previous year)</w:t>
            </w:r>
          </w:p>
        </w:tc>
        <w:tc>
          <w:tcPr>
            <w:tcW w:type="dxa" w:w="1224"/>
            <w:vAlign w:val="center"/>
          </w:tcPr>
          <w:p>
            <w:pPr>
              <w:spacing w:before="0" w:after="0" w:line="240" w:lineRule="auto"/>
              <w:jc w:val="center"/>
            </w:pPr>
            <w:r>
              <w:rPr>
                <w:rFonts w:ascii="Times New Roman" w:hAnsi="Times New Roman"/>
                <w:sz w:val="16"/>
              </w:rPr>
              <w:t>0.9022</w:t>
            </w:r>
          </w:p>
        </w:tc>
        <w:tc>
          <w:tcPr>
            <w:tcW w:type="dxa" w:w="1224"/>
            <w:vAlign w:val="center"/>
          </w:tcPr>
          <w:p>
            <w:pPr>
              <w:spacing w:before="0" w:after="0" w:line="240" w:lineRule="auto"/>
              <w:jc w:val="center"/>
            </w:pPr>
            <w:r>
              <w:rPr>
                <w:rFonts w:ascii="Times New Roman" w:hAnsi="Times New Roman"/>
                <w:sz w:val="16"/>
              </w:rPr>
              <w:t>0.0403</w:t>
            </w:r>
          </w:p>
        </w:tc>
        <w:tc>
          <w:tcPr>
            <w:tcW w:type="dxa" w:w="1224"/>
            <w:vAlign w:val="center"/>
          </w:tcPr>
          <w:p>
            <w:pPr>
              <w:spacing w:before="0" w:after="0" w:line="240" w:lineRule="auto"/>
              <w:jc w:val="center"/>
            </w:pPr>
            <w:r>
              <w:rPr>
                <w:rFonts w:ascii="Times New Roman" w:hAnsi="Times New Roman"/>
                <w:sz w:val="16"/>
              </w:rPr>
              <w:t>0.0561</w:t>
            </w:r>
          </w:p>
        </w:tc>
      </w:tr>
    </w:tbl>
    <w:p>
      <w:pPr>
        <w:spacing w:after="40"/>
      </w:pPr>
    </w:p>
    <w:p>
      <w:pPr>
        <w:spacing w:before="80" w:after="80" w:line="240" w:lineRule="auto"/>
      </w:pPr>
      <w:r>
        <w:rPr>
          <w:rFonts w:ascii="Times New Roman" w:hAnsi="Times New Roman"/>
          <w:b/>
          <w:sz w:val="19"/>
        </w:rPr>
        <w:t>Table 7. LightGBM feature-family ablations on the untouched 2024 cells. Each row adds one family to the same structured features; the all-family result is reported in Table 8.</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05"/>
        <w:gridCol w:w="1805"/>
        <w:gridCol w:w="1805"/>
        <w:gridCol w:w="1805"/>
        <w:gridCol w:w="1805"/>
      </w:tblGrid>
      <w:tr>
        <w:trPr>
          <w:tblHeader w:val="true"/>
        </w:trPr>
        <w:tc>
          <w:tcPr>
            <w:tcW w:type="dxa" w:w="1944"/>
            <w:shd w:fill="D9EAF2"/>
            <w:vAlign w:val="center"/>
          </w:tcPr>
          <w:p>
            <w:pPr>
              <w:spacing w:before="0" w:after="0" w:line="240" w:lineRule="auto"/>
              <w:jc w:val="center"/>
            </w:pPr>
            <w:r>
              <w:rPr>
                <w:rFonts w:ascii="Times New Roman" w:hAnsi="Times New Roman"/>
                <w:b/>
                <w:sz w:val="17"/>
              </w:rPr>
              <w:t>Target</w:t>
            </w:r>
          </w:p>
        </w:tc>
        <w:tc>
          <w:tcPr>
            <w:tcW w:type="dxa" w:w="2088"/>
            <w:shd w:fill="D9EAF2"/>
            <w:vAlign w:val="center"/>
          </w:tcPr>
          <w:p>
            <w:pPr>
              <w:spacing w:before="0" w:after="0" w:line="240" w:lineRule="auto"/>
              <w:jc w:val="center"/>
            </w:pPr>
            <w:r>
              <w:rPr>
                <w:rFonts w:ascii="Times New Roman" w:hAnsi="Times New Roman"/>
                <w:b/>
                <w:sz w:val="17"/>
              </w:rPr>
              <w:t>Added family</w:t>
            </w:r>
          </w:p>
        </w:tc>
        <w:tc>
          <w:tcPr>
            <w:tcW w:type="dxa" w:w="1152"/>
            <w:shd w:fill="D9EAF2"/>
            <w:vAlign w:val="center"/>
          </w:tcPr>
          <w:p>
            <w:pPr>
              <w:spacing w:before="0" w:after="0" w:line="240" w:lineRule="auto"/>
              <w:jc w:val="center"/>
            </w:pPr>
            <w:r>
              <w:rPr>
                <w:rFonts w:ascii="Times New Roman" w:hAnsi="Times New Roman"/>
                <w:b/>
                <w:sz w:val="17"/>
                <w:noProof/>
              </w:rPr>
              <w:t>R</w:t>
            </w:r>
            <w:r>
              <w:rPr>
                <w:rFonts w:ascii="Times New Roman" w:hAnsi="Times New Roman"/>
                <w:b/>
                <w:sz w:val="17"/>
                <w:vertAlign w:val="superscript"/>
                <w:noProof/>
              </w:rPr>
              <w:t>2</w:t>
            </w:r>
          </w:p>
        </w:tc>
        <w:tc>
          <w:tcPr>
            <w:tcW w:type="dxa" w:w="1944"/>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r>
              <w:rPr>
                <w:rFonts w:ascii="Times New Roman" w:hAnsi="Times New Roman"/>
                <w:b/>
                <w:sz w:val="17"/>
                <w:noProof/>
              </w:rPr>
              <w:t xml:space="preserve"> vs structured</w:t>
            </w:r>
          </w:p>
        </w:tc>
        <w:tc>
          <w:tcPr>
            <w:tcW w:type="dxa" w:w="1152"/>
            <w:shd w:fill="D9EAF2"/>
            <w:vAlign w:val="center"/>
          </w:tcPr>
          <w:p>
            <w:pPr>
              <w:spacing w:before="0" w:after="0" w:line="240" w:lineRule="auto"/>
              <w:jc w:val="center"/>
            </w:pPr>
            <w:r>
              <w:rPr>
                <w:rFonts w:ascii="Times New Roman" w:hAnsi="Times New Roman"/>
                <w:b/>
                <w:sz w:val="17"/>
              </w:rPr>
              <w:t>MAE</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VADER</w:t>
            </w:r>
          </w:p>
        </w:tc>
        <w:tc>
          <w:tcPr>
            <w:tcW w:type="dxa" w:w="1152"/>
            <w:vAlign w:val="center"/>
          </w:tcPr>
          <w:p>
            <w:pPr>
              <w:spacing w:before="0" w:after="0" w:line="240" w:lineRule="auto"/>
              <w:jc w:val="center"/>
            </w:pPr>
            <w:r>
              <w:rPr>
                <w:rFonts w:ascii="Times New Roman" w:hAnsi="Times New Roman"/>
                <w:sz w:val="16"/>
              </w:rPr>
              <w:t>0.3644</w:t>
            </w:r>
          </w:p>
        </w:tc>
        <w:tc>
          <w:tcPr>
            <w:tcW w:type="dxa" w:w="1944"/>
            <w:vAlign w:val="center"/>
          </w:tcPr>
          <w:p>
            <w:pPr>
              <w:spacing w:before="0" w:after="0" w:line="240" w:lineRule="auto"/>
              <w:jc w:val="center"/>
            </w:pPr>
            <w:r>
              <w:rPr>
                <w:rFonts w:ascii="Times New Roman" w:hAnsi="Times New Roman"/>
                <w:sz w:val="16"/>
              </w:rPr>
              <w:t>-0.2350</w:t>
            </w:r>
          </w:p>
        </w:tc>
        <w:tc>
          <w:tcPr>
            <w:tcW w:type="dxa" w:w="1152"/>
            <w:vAlign w:val="center"/>
          </w:tcPr>
          <w:p>
            <w:pPr>
              <w:spacing w:before="0" w:after="0" w:line="240" w:lineRule="auto"/>
              <w:jc w:val="center"/>
            </w:pPr>
            <w:r>
              <w:rPr>
                <w:rFonts w:ascii="Times New Roman" w:hAnsi="Times New Roman"/>
                <w:sz w:val="16"/>
              </w:rPr>
              <w:t>66.8443</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topics</w:t>
            </w:r>
          </w:p>
        </w:tc>
        <w:tc>
          <w:tcPr>
            <w:tcW w:type="dxa" w:w="1152"/>
            <w:vAlign w:val="center"/>
          </w:tcPr>
          <w:p>
            <w:pPr>
              <w:spacing w:before="0" w:after="0" w:line="240" w:lineRule="auto"/>
              <w:jc w:val="center"/>
            </w:pPr>
            <w:r>
              <w:rPr>
                <w:rFonts w:ascii="Times New Roman" w:hAnsi="Times New Roman"/>
                <w:sz w:val="16"/>
              </w:rPr>
              <w:t>0.6116</w:t>
            </w:r>
          </w:p>
        </w:tc>
        <w:tc>
          <w:tcPr>
            <w:tcW w:type="dxa" w:w="1944"/>
            <w:vAlign w:val="center"/>
          </w:tcPr>
          <w:p>
            <w:pPr>
              <w:spacing w:before="0" w:after="0" w:line="240" w:lineRule="auto"/>
              <w:jc w:val="center"/>
            </w:pPr>
            <w:r>
              <w:rPr>
                <w:rFonts w:ascii="Times New Roman" w:hAnsi="Times New Roman"/>
                <w:sz w:val="16"/>
              </w:rPr>
              <w:t>+0.0122</w:t>
            </w:r>
          </w:p>
        </w:tc>
        <w:tc>
          <w:tcPr>
            <w:tcW w:type="dxa" w:w="1152"/>
            <w:vAlign w:val="center"/>
          </w:tcPr>
          <w:p>
            <w:pPr>
              <w:spacing w:before="0" w:after="0" w:line="240" w:lineRule="auto"/>
              <w:jc w:val="center"/>
            </w:pPr>
            <w:r>
              <w:rPr>
                <w:rFonts w:ascii="Times New Roman" w:hAnsi="Times New Roman"/>
                <w:sz w:val="16"/>
              </w:rPr>
              <w:t>52.3771</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ABSA</w:t>
            </w:r>
          </w:p>
        </w:tc>
        <w:tc>
          <w:tcPr>
            <w:tcW w:type="dxa" w:w="1152"/>
            <w:vAlign w:val="center"/>
          </w:tcPr>
          <w:p>
            <w:pPr>
              <w:spacing w:before="0" w:after="0" w:line="240" w:lineRule="auto"/>
              <w:jc w:val="center"/>
            </w:pPr>
            <w:r>
              <w:rPr>
                <w:rFonts w:ascii="Times New Roman" w:hAnsi="Times New Roman"/>
                <w:sz w:val="16"/>
              </w:rPr>
              <w:t>0.6420</w:t>
            </w:r>
          </w:p>
        </w:tc>
        <w:tc>
          <w:tcPr>
            <w:tcW w:type="dxa" w:w="1944"/>
            <w:vAlign w:val="center"/>
          </w:tcPr>
          <w:p>
            <w:pPr>
              <w:spacing w:before="0" w:after="0" w:line="240" w:lineRule="auto"/>
              <w:jc w:val="center"/>
            </w:pPr>
            <w:r>
              <w:rPr>
                <w:rFonts w:ascii="Times New Roman" w:hAnsi="Times New Roman"/>
                <w:sz w:val="16"/>
              </w:rPr>
              <w:t>+0.0425</w:t>
            </w:r>
          </w:p>
        </w:tc>
        <w:tc>
          <w:tcPr>
            <w:tcW w:type="dxa" w:w="1152"/>
            <w:vAlign w:val="center"/>
          </w:tcPr>
          <w:p>
            <w:pPr>
              <w:spacing w:before="0" w:after="0" w:line="240" w:lineRule="auto"/>
              <w:jc w:val="center"/>
            </w:pPr>
            <w:r>
              <w:rPr>
                <w:rFonts w:ascii="Times New Roman" w:hAnsi="Times New Roman"/>
                <w:sz w:val="16"/>
              </w:rPr>
              <w:t>52.1893</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RSAT satisfaction</w:t>
            </w:r>
          </w:p>
        </w:tc>
        <w:tc>
          <w:tcPr>
            <w:tcW w:type="dxa" w:w="1152"/>
            <w:vAlign w:val="center"/>
          </w:tcPr>
          <w:p>
            <w:pPr>
              <w:spacing w:before="0" w:after="0" w:line="240" w:lineRule="auto"/>
              <w:jc w:val="center"/>
            </w:pPr>
            <w:r>
              <w:rPr>
                <w:rFonts w:ascii="Times New Roman" w:hAnsi="Times New Roman"/>
                <w:sz w:val="16"/>
              </w:rPr>
              <w:t>0.6101</w:t>
            </w:r>
          </w:p>
        </w:tc>
        <w:tc>
          <w:tcPr>
            <w:tcW w:type="dxa" w:w="1944"/>
            <w:vAlign w:val="center"/>
          </w:tcPr>
          <w:p>
            <w:pPr>
              <w:spacing w:before="0" w:after="0" w:line="240" w:lineRule="auto"/>
              <w:jc w:val="center"/>
            </w:pPr>
            <w:r>
              <w:rPr>
                <w:rFonts w:ascii="Times New Roman" w:hAnsi="Times New Roman"/>
                <w:sz w:val="16"/>
              </w:rPr>
              <w:t>+0.0106</w:t>
            </w:r>
          </w:p>
        </w:tc>
        <w:tc>
          <w:tcPr>
            <w:tcW w:type="dxa" w:w="1152"/>
            <w:vAlign w:val="center"/>
          </w:tcPr>
          <w:p>
            <w:pPr>
              <w:spacing w:before="0" w:after="0" w:line="240" w:lineRule="auto"/>
              <w:jc w:val="center"/>
            </w:pPr>
            <w:r>
              <w:rPr>
                <w:rFonts w:ascii="Times New Roman" w:hAnsi="Times New Roman"/>
                <w:sz w:val="16"/>
              </w:rPr>
              <w:t>55.8516</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VADER</w:t>
            </w:r>
          </w:p>
        </w:tc>
        <w:tc>
          <w:tcPr>
            <w:tcW w:type="dxa" w:w="1152"/>
            <w:vAlign w:val="center"/>
          </w:tcPr>
          <w:p>
            <w:pPr>
              <w:spacing w:before="0" w:after="0" w:line="240" w:lineRule="auto"/>
              <w:jc w:val="center"/>
            </w:pPr>
            <w:r>
              <w:rPr>
                <w:rFonts w:ascii="Times New Roman" w:hAnsi="Times New Roman"/>
                <w:sz w:val="16"/>
              </w:rPr>
              <w:t>0.8955</w:t>
            </w:r>
          </w:p>
        </w:tc>
        <w:tc>
          <w:tcPr>
            <w:tcW w:type="dxa" w:w="1944"/>
            <w:vAlign w:val="center"/>
          </w:tcPr>
          <w:p>
            <w:pPr>
              <w:spacing w:before="0" w:after="0" w:line="240" w:lineRule="auto"/>
              <w:jc w:val="center"/>
            </w:pPr>
            <w:r>
              <w:rPr>
                <w:rFonts w:ascii="Times New Roman" w:hAnsi="Times New Roman"/>
                <w:sz w:val="16"/>
              </w:rPr>
              <w:t>-0.0269</w:t>
            </w:r>
          </w:p>
        </w:tc>
        <w:tc>
          <w:tcPr>
            <w:tcW w:type="dxa" w:w="1152"/>
            <w:vAlign w:val="center"/>
          </w:tcPr>
          <w:p>
            <w:pPr>
              <w:spacing w:before="0" w:after="0" w:line="240" w:lineRule="auto"/>
              <w:jc w:val="center"/>
            </w:pPr>
            <w:r>
              <w:rPr>
                <w:rFonts w:ascii="Times New Roman" w:hAnsi="Times New Roman"/>
                <w:sz w:val="16"/>
              </w:rPr>
              <w:t>0.0420</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topics</w:t>
            </w:r>
          </w:p>
        </w:tc>
        <w:tc>
          <w:tcPr>
            <w:tcW w:type="dxa" w:w="1152"/>
            <w:vAlign w:val="center"/>
          </w:tcPr>
          <w:p>
            <w:pPr>
              <w:spacing w:before="0" w:after="0" w:line="240" w:lineRule="auto"/>
              <w:jc w:val="center"/>
            </w:pPr>
            <w:r>
              <w:rPr>
                <w:rFonts w:ascii="Times New Roman" w:hAnsi="Times New Roman"/>
                <w:sz w:val="16"/>
              </w:rPr>
              <w:t>0.9273</w:t>
            </w:r>
          </w:p>
        </w:tc>
        <w:tc>
          <w:tcPr>
            <w:tcW w:type="dxa" w:w="1944"/>
            <w:vAlign w:val="center"/>
          </w:tcPr>
          <w:p>
            <w:pPr>
              <w:spacing w:before="0" w:after="0" w:line="240" w:lineRule="auto"/>
              <w:jc w:val="center"/>
            </w:pPr>
            <w:r>
              <w:rPr>
                <w:rFonts w:ascii="Times New Roman" w:hAnsi="Times New Roman"/>
                <w:sz w:val="16"/>
              </w:rPr>
              <w:t>+0.0048</w:t>
            </w:r>
          </w:p>
        </w:tc>
        <w:tc>
          <w:tcPr>
            <w:tcW w:type="dxa" w:w="1152"/>
            <w:vAlign w:val="center"/>
          </w:tcPr>
          <w:p>
            <w:pPr>
              <w:spacing w:before="0" w:after="0" w:line="240" w:lineRule="auto"/>
              <w:jc w:val="center"/>
            </w:pPr>
            <w:r>
              <w:rPr>
                <w:rFonts w:ascii="Times New Roman" w:hAnsi="Times New Roman"/>
                <w:sz w:val="16"/>
              </w:rPr>
              <w:t>0.0343</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ABSA</w:t>
            </w:r>
          </w:p>
        </w:tc>
        <w:tc>
          <w:tcPr>
            <w:tcW w:type="dxa" w:w="1152"/>
            <w:vAlign w:val="center"/>
          </w:tcPr>
          <w:p>
            <w:pPr>
              <w:spacing w:before="0" w:after="0" w:line="240" w:lineRule="auto"/>
              <w:jc w:val="center"/>
            </w:pPr>
            <w:r>
              <w:rPr>
                <w:rFonts w:ascii="Times New Roman" w:hAnsi="Times New Roman"/>
                <w:sz w:val="16"/>
              </w:rPr>
              <w:t>0.8726</w:t>
            </w:r>
          </w:p>
        </w:tc>
        <w:tc>
          <w:tcPr>
            <w:tcW w:type="dxa" w:w="1944"/>
            <w:vAlign w:val="center"/>
          </w:tcPr>
          <w:p>
            <w:pPr>
              <w:spacing w:before="0" w:after="0" w:line="240" w:lineRule="auto"/>
              <w:jc w:val="center"/>
            </w:pPr>
            <w:r>
              <w:rPr>
                <w:rFonts w:ascii="Times New Roman" w:hAnsi="Times New Roman"/>
                <w:sz w:val="16"/>
              </w:rPr>
              <w:t>-0.0498</w:t>
            </w:r>
          </w:p>
        </w:tc>
        <w:tc>
          <w:tcPr>
            <w:tcW w:type="dxa" w:w="1152"/>
            <w:vAlign w:val="center"/>
          </w:tcPr>
          <w:p>
            <w:pPr>
              <w:spacing w:before="0" w:after="0" w:line="240" w:lineRule="auto"/>
              <w:jc w:val="center"/>
            </w:pPr>
            <w:r>
              <w:rPr>
                <w:rFonts w:ascii="Times New Roman" w:hAnsi="Times New Roman"/>
                <w:sz w:val="16"/>
              </w:rPr>
              <w:t>0.0420</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RSAT satisfaction</w:t>
            </w:r>
          </w:p>
        </w:tc>
        <w:tc>
          <w:tcPr>
            <w:tcW w:type="dxa" w:w="1152"/>
            <w:vAlign w:val="center"/>
          </w:tcPr>
          <w:p>
            <w:pPr>
              <w:spacing w:before="0" w:after="0" w:line="240" w:lineRule="auto"/>
              <w:jc w:val="center"/>
            </w:pPr>
            <w:r>
              <w:rPr>
                <w:rFonts w:ascii="Times New Roman" w:hAnsi="Times New Roman"/>
                <w:sz w:val="16"/>
              </w:rPr>
              <w:t>0.9224</w:t>
            </w:r>
          </w:p>
        </w:tc>
        <w:tc>
          <w:tcPr>
            <w:tcW w:type="dxa" w:w="1944"/>
            <w:vAlign w:val="center"/>
          </w:tcPr>
          <w:p>
            <w:pPr>
              <w:spacing w:before="0" w:after="0" w:line="240" w:lineRule="auto"/>
              <w:jc w:val="center"/>
            </w:pPr>
            <w:r>
              <w:rPr>
                <w:rFonts w:ascii="Times New Roman" w:hAnsi="Times New Roman"/>
                <w:sz w:val="16"/>
              </w:rPr>
              <w:t>-0.0001</w:t>
            </w:r>
          </w:p>
        </w:tc>
        <w:tc>
          <w:tcPr>
            <w:tcW w:type="dxa" w:w="1152"/>
            <w:vAlign w:val="center"/>
          </w:tcPr>
          <w:p>
            <w:pPr>
              <w:spacing w:before="0" w:after="0" w:line="240" w:lineRule="auto"/>
              <w:jc w:val="center"/>
            </w:pPr>
            <w:r>
              <w:rPr>
                <w:rFonts w:ascii="Times New Roman" w:hAnsi="Times New Roman"/>
                <w:sz w:val="16"/>
              </w:rPr>
              <w:t>0.0374</w:t>
            </w:r>
          </w:p>
        </w:tc>
      </w:tr>
    </w:tbl>
    <w:p>
      <w:pPr>
        <w:spacing w:after="40"/>
      </w:pP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noProof/>
        </w:rPr>
        <w:t xml:space="preserve">The primary LightGBM delay model changed held-out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from 0.5995 to 0.4730 (Delta -0.1264); the augmented model was worse and its paired absolute-error p-value was 0.1363. For repeat rate, the primary LightGBM model changed from 0.9224 to 0.9241 (Delta +0.0017); the augmented model was slightly better, with paired absolute-error p-value 0.05281. These p-values test error direction, not the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itself. The strongest structured benchmark is the last-value baseline for both outcomes, so the NLP comparison does not establish improvement over persistence. Across learned model families, the best augmented delay result was Ridge at 0.5743, compared with the best structured learned result LightGBM at 0.5995; for repeat rate the corresponding values were LightGBM (0.9241) and LightGBM (0.9224).</w:t>
      </w:r>
    </w:p>
    <w:p>
      <w:pPr>
        <w:spacing w:before="80" w:after="80" w:line="240" w:lineRule="auto"/>
      </w:pPr>
      <w:r>
        <w:rPr>
          <w:rFonts w:ascii="Times New Roman" w:hAnsi="Times New Roman"/>
          <w:b/>
          <w:sz w:val="19"/>
          <w:noProof/>
        </w:rPr>
        <w:t xml:space="preserve">Table 8. One-month-ahead 2024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across learned models. The p-value tests paired absolute cell errors; it is not a direct significance test of the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difference. The sign of Delta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indicates whether the augmented model improved or worsened performance.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noProof/>
              </w:rPr>
              <w:t xml:space="preserve">Baseline </w:t>
            </w:r>
            <w:r>
              <w:rPr>
                <w:rFonts w:ascii="Times New Roman" w:hAnsi="Times New Roman"/>
                <w:b/>
                <w:sz w:val="17"/>
                <w:noProof/>
              </w:rPr>
              <w:t>R</w:t>
            </w:r>
            <w:r>
              <w:rPr>
                <w:rFonts w:ascii="Times New Roman" w:hAnsi="Times New Roman"/>
                <w:b/>
                <w:sz w:val="17"/>
                <w:vertAlign w:val="superscript"/>
                <w:noProof/>
              </w:rPr>
              <w:t>2</w:t>
            </w:r>
          </w:p>
        </w:tc>
        <w:tc>
          <w:tcPr>
            <w:tcW w:type="dxa" w:w="1440"/>
            <w:shd w:fill="D9EAF2"/>
            <w:vAlign w:val="center"/>
          </w:tcPr>
          <w:p>
            <w:pPr>
              <w:spacing w:before="0" w:after="0" w:line="240" w:lineRule="auto"/>
              <w:jc w:val="center"/>
            </w:pPr>
            <w:r>
              <w:rPr>
                <w:rFonts w:ascii="Times New Roman" w:hAnsi="Times New Roman"/>
                <w:b/>
                <w:sz w:val="17"/>
                <w:noProof/>
              </w:rPr>
              <w:t xml:space="preserve">Augmented </w:t>
            </w:r>
            <w:r>
              <w:rPr>
                <w:rFonts w:ascii="Times New Roman" w:hAnsi="Times New Roman"/>
                <w:b/>
                <w:sz w:val="17"/>
                <w:noProof/>
              </w:rPr>
              <w:t>R</w:t>
            </w:r>
            <w:r>
              <w:rPr>
                <w:rFonts w:ascii="Times New Roman" w:hAnsi="Times New Roman"/>
                <w:b/>
                <w:sz w:val="17"/>
                <w:vertAlign w:val="superscript"/>
                <w:noProof/>
              </w:rPr>
              <w:t>2</w:t>
            </w:r>
          </w:p>
        </w:tc>
        <w:tc>
          <w:tcPr>
            <w:tcW w:type="dxa" w:w="1296"/>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p>
        </w:tc>
        <w:tc>
          <w:tcPr>
            <w:tcW w:type="dxa" w:w="1080"/>
            <w:shd w:fill="D9EAF2"/>
            <w:vAlign w:val="center"/>
          </w:tcPr>
          <w:p>
            <w:pPr>
              <w:spacing w:before="0" w:after="0" w:line="240" w:lineRule="auto"/>
              <w:jc w:val="center"/>
            </w:pPr>
            <w:r>
              <w:rPr>
                <w:rFonts w:ascii="Times New Roman" w:hAnsi="Times New Roman"/>
                <w:b/>
                <w:sz w:val="17"/>
              </w:rPr>
              <w:t>paired-error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spacing w:after="40"/>
      </w:pPr>
    </w:p>
    <w:p>
      <w:pPr>
        <w:spacing w:before="80" w:after="80" w:line="240" w:lineRule="auto"/>
      </w:pPr>
      <w:r>
        <w:rPr>
          <w:rFonts w:ascii="Times New Roman" w:hAnsi="Times New Roman"/>
          <w:b/>
          <w:sz w:val="19"/>
        </w:rPr>
        <w:t>Table 9. Mean absolute error and root mean squared error for the primary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LightGBM</w:t>
            </w:r>
          </w:p>
        </w:tc>
        <w:tc>
          <w:tcPr>
            <w:tcW w:type="dxa" w:w="1728"/>
            <w:vAlign w:val="center"/>
          </w:tcPr>
          <w:p>
            <w:pPr>
              <w:spacing w:before="0" w:after="0" w:line="240" w:lineRule="auto"/>
              <w:jc w:val="center"/>
            </w:pPr>
            <w:r>
              <w:rPr>
                <w:rFonts w:ascii="Times New Roman" w:hAnsi="Times New Roman"/>
                <w:sz w:val="16"/>
              </w:rPr>
              <w:t>56.1839 h</w:t>
            </w:r>
          </w:p>
        </w:tc>
        <w:tc>
          <w:tcPr>
            <w:tcW w:type="dxa" w:w="1728"/>
            <w:vAlign w:val="center"/>
          </w:tcPr>
          <w:p>
            <w:pPr>
              <w:spacing w:before="0" w:after="0" w:line="240" w:lineRule="auto"/>
              <w:jc w:val="center"/>
            </w:pPr>
            <w:r>
              <w:rPr>
                <w:rFonts w:ascii="Times New Roman" w:hAnsi="Times New Roman"/>
                <w:sz w:val="16"/>
              </w:rPr>
              <w:t>113.6251 h</w:t>
            </w:r>
          </w:p>
        </w:tc>
      </w:tr>
      <w:tr>
        <w:tc>
          <w:tcPr>
            <w:tcW w:type="dxa" w:w="4896"/>
            <w:vAlign w:val="center"/>
          </w:tcPr>
          <w:p>
            <w:pPr>
              <w:spacing w:before="0" w:after="0" w:line="240" w:lineRule="auto"/>
              <w:jc w:val="left"/>
            </w:pPr>
            <w:r>
              <w:rPr>
                <w:rFonts w:ascii="Times New Roman" w:hAnsi="Times New Roman"/>
                <w:sz w:val="16"/>
              </w:rPr>
              <w:t>Delay / augmented LightGBM</w:t>
            </w:r>
          </w:p>
        </w:tc>
        <w:tc>
          <w:tcPr>
            <w:tcW w:type="dxa" w:w="1728"/>
            <w:vAlign w:val="center"/>
          </w:tcPr>
          <w:p>
            <w:pPr>
              <w:spacing w:before="0" w:after="0" w:line="240" w:lineRule="auto"/>
              <w:jc w:val="center"/>
            </w:pPr>
            <w:r>
              <w:rPr>
                <w:rFonts w:ascii="Times New Roman" w:hAnsi="Times New Roman"/>
                <w:sz w:val="16"/>
              </w:rPr>
              <w:t>60.2874 h</w:t>
            </w:r>
          </w:p>
        </w:tc>
        <w:tc>
          <w:tcPr>
            <w:tcW w:type="dxa" w:w="1728"/>
            <w:vAlign w:val="center"/>
          </w:tcPr>
          <w:p>
            <w:pPr>
              <w:spacing w:before="0" w:after="0" w:line="240" w:lineRule="auto"/>
              <w:jc w:val="center"/>
            </w:pPr>
            <w:r>
              <w:rPr>
                <w:rFonts w:ascii="Times New Roman" w:hAnsi="Times New Roman"/>
                <w:sz w:val="16"/>
              </w:rPr>
              <w:t>130.3318 h</w:t>
            </w:r>
          </w:p>
        </w:tc>
      </w:tr>
      <w:tr>
        <w:tc>
          <w:tcPr>
            <w:tcW w:type="dxa" w:w="4896"/>
            <w:vAlign w:val="center"/>
          </w:tcPr>
          <w:p>
            <w:pPr>
              <w:spacing w:before="0" w:after="0" w:line="240" w:lineRule="auto"/>
              <w:jc w:val="left"/>
            </w:pPr>
            <w:r>
              <w:rPr>
                <w:rFonts w:ascii="Times New Roman" w:hAnsi="Times New Roman"/>
                <w:sz w:val="16"/>
              </w:rPr>
              <w:t>Repeat / structured LightGBM</w:t>
            </w:r>
          </w:p>
        </w:tc>
        <w:tc>
          <w:tcPr>
            <w:tcW w:type="dxa" w:w="1728"/>
            <w:vAlign w:val="center"/>
          </w:tcPr>
          <w:p>
            <w:pPr>
              <w:spacing w:before="0" w:after="0" w:line="240" w:lineRule="auto"/>
              <w:jc w:val="center"/>
            </w:pPr>
            <w:r>
              <w:rPr>
                <w:rFonts w:ascii="Times New Roman" w:hAnsi="Times New Roman"/>
                <w:sz w:val="16"/>
              </w:rPr>
              <w:t>0.0370</w:t>
            </w:r>
          </w:p>
        </w:tc>
        <w:tc>
          <w:tcPr>
            <w:tcW w:type="dxa" w:w="1728"/>
            <w:vAlign w:val="center"/>
          </w:tcPr>
          <w:p>
            <w:pPr>
              <w:spacing w:before="0" w:after="0" w:line="240" w:lineRule="auto"/>
              <w:jc w:val="center"/>
            </w:pPr>
            <w:r>
              <w:rPr>
                <w:rFonts w:ascii="Times New Roman" w:hAnsi="Times New Roman"/>
                <w:sz w:val="16"/>
              </w:rPr>
              <w:t>0.0500</w:t>
            </w:r>
          </w:p>
        </w:tc>
      </w:tr>
      <w:tr>
        <w:tc>
          <w:tcPr>
            <w:tcW w:type="dxa" w:w="4896"/>
            <w:vAlign w:val="center"/>
          </w:tcPr>
          <w:p>
            <w:pPr>
              <w:spacing w:before="0" w:after="0" w:line="240" w:lineRule="auto"/>
              <w:jc w:val="left"/>
            </w:pPr>
            <w:r>
              <w:rPr>
                <w:rFonts w:ascii="Times New Roman" w:hAnsi="Times New Roman"/>
                <w:sz w:val="16"/>
              </w:rPr>
              <w:t>Repeat / augmented LightGBM</w:t>
            </w:r>
          </w:p>
        </w:tc>
        <w:tc>
          <w:tcPr>
            <w:tcW w:type="dxa" w:w="1728"/>
            <w:vAlign w:val="center"/>
          </w:tcPr>
          <w:p>
            <w:pPr>
              <w:spacing w:before="0" w:after="0" w:line="240" w:lineRule="auto"/>
              <w:jc w:val="center"/>
            </w:pPr>
            <w:r>
              <w:rPr>
                <w:rFonts w:ascii="Times New Roman" w:hAnsi="Times New Roman"/>
                <w:sz w:val="16"/>
              </w:rPr>
              <w:t>0.0354</w:t>
            </w:r>
          </w:p>
        </w:tc>
        <w:tc>
          <w:tcPr>
            <w:tcW w:type="dxa" w:w="1728"/>
            <w:vAlign w:val="center"/>
          </w:tcPr>
          <w:p>
            <w:pPr>
              <w:spacing w:before="0" w:after="0" w:line="240" w:lineRule="auto"/>
              <w:jc w:val="center"/>
            </w:pPr>
            <w:r>
              <w:rPr>
                <w:rFonts w:ascii="Times New Roman" w:hAnsi="Times New Roman"/>
                <w:sz w:val="16"/>
              </w:rPr>
              <w:t>0.0494</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noProof/>
        </w:rPr>
        <w:t xml:space="preserve">Figure 5. One-month-ahead out-of-time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noProof/>
        </w:rPr>
        <w:t xml:space="preserve">Using the exact primary LightGBM recipe across five seeds, the mean delay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-0.1396 with standard deviation 0.0158. Its bootstrap 95% interval was [-0.2282, -0.0402]. The mean repeat-rate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-0.0008 with standard deviation 0.0017; its interval was [-0.0070, +0.0060].</w:t>
      </w:r>
    </w:p>
    <w:p>
      <w:pPr>
        <w:spacing w:before="80" w:after="40" w:line="240" w:lineRule="auto"/>
        <w:jc w:val="center"/>
      </w:pPr>
      <w:r>
        <w:drawing>
          <wp:inline xmlns:a="http://schemas.openxmlformats.org/drawingml/2006/main" xmlns:pic="http://schemas.openxmlformats.org/drawingml/2006/picture">
            <wp:extent cx="5349240" cy="2567635"/>
            <wp:docPr id="6" name="Picture 6" descr="Figure 6. Multi-seed incremental R-squared with error bars. Separate outcome-specific scales keep the near-zero repeat-rate change visible."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2567635"/>
                    </a:xfrm>
                    <a:prstGeom prst="rect"/>
                  </pic:spPr>
                </pic:pic>
              </a:graphicData>
            </a:graphic>
          </wp:inline>
        </w:drawing>
      </w:r>
    </w:p>
    <w:p>
      <w:pPr>
        <w:spacing w:before="40" w:after="80" w:line="240" w:lineRule="auto"/>
      </w:pPr>
      <w:r>
        <w:rPr>
          <w:rFonts w:ascii="Times New Roman" w:hAnsi="Times New Roman"/>
          <w:b/>
          <w:sz w:val="19"/>
          <w:noProof/>
        </w:rPr>
        <w:t xml:space="preserve">Figure 6. Multi-seed incremental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with error bars. Separate outcome-specific scales keep the near-zero repeat-rate change visible.</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spacing w:before="80" w:after="80" w:line="240" w:lineRule="auto"/>
      </w:pPr>
      <w:r>
        <w:rPr>
          <w:rFonts w:ascii="Times New Roman" w:hAnsi="Times New Roman"/>
          <w:b/>
          <w:sz w:val="19"/>
        </w:rPr>
        <w:t>Table 10. Held-out 2024 dashboard priority-ranking performance. Relevance is defined from the observed composite operational burden, not from individual resident outcomes.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936"/>
            <w:shd w:fill="D9EAF2"/>
            <w:vAlign w:val="center"/>
          </w:tcPr>
          <w:p>
            <w:pPr>
              <w:spacing w:before="0" w:after="0" w:line="240" w:lineRule="auto"/>
              <w:jc w:val="center"/>
            </w:pPr>
            <w:r>
              <w:rPr>
                <w:rFonts w:ascii="Times New Roman" w:hAnsi="Times New Roman"/>
                <w:b/>
                <w:sz w:val="17"/>
              </w:rPr>
              <w:t>k</w:t>
            </w:r>
          </w:p>
        </w:tc>
        <w:tc>
          <w:tcPr>
            <w:tcW w:type="dxa" w:w="1800"/>
            <w:shd w:fill="D9EAF2"/>
            <w:vAlign w:val="center"/>
          </w:tcPr>
          <w:p>
            <w:pPr>
              <w:spacing w:before="0" w:after="0" w:line="240" w:lineRule="auto"/>
              <w:jc w:val="center"/>
            </w:pPr>
            <w:r>
              <w:rPr>
                <w:rFonts w:ascii="Times New Roman" w:hAnsi="Times New Roman"/>
                <w:b/>
                <w:sz w:val="17"/>
              </w:rPr>
              <w:t>Precision@k</w:t>
            </w:r>
          </w:p>
        </w:tc>
        <w:tc>
          <w:tcPr>
            <w:tcW w:type="dxa" w:w="2088"/>
            <w:shd w:fill="D9EAF2"/>
            <w:vAlign w:val="center"/>
          </w:tcPr>
          <w:p>
            <w:pPr>
              <w:spacing w:before="0" w:after="0" w:line="240" w:lineRule="auto"/>
              <w:jc w:val="center"/>
            </w:pPr>
            <w:r>
              <w:rPr>
                <w:rFonts w:ascii="Times New Roman" w:hAnsi="Times New Roman"/>
                <w:b/>
                <w:sz w:val="17"/>
              </w:rPr>
              <w:t>Lift over random</w:t>
            </w:r>
          </w:p>
        </w:tc>
        <w:tc>
          <w:tcPr>
            <w:tcW w:type="dxa" w:w="1512"/>
            <w:shd w:fill="D9EAF2"/>
            <w:vAlign w:val="center"/>
          </w:tcPr>
          <w:p>
            <w:pPr>
              <w:spacing w:before="0" w:after="0" w:line="240" w:lineRule="auto"/>
              <w:jc w:val="center"/>
            </w:pPr>
            <w:r>
              <w:rPr>
                <w:rFonts w:ascii="Times New Roman" w:hAnsi="Times New Roman"/>
                <w:b/>
                <w:sz w:val="17"/>
              </w:rPr>
              <w:t>NDCG@k</w:t>
            </w:r>
          </w:p>
        </w:tc>
      </w:tr>
      <w:tr>
        <w:tc>
          <w:tcPr>
            <w:tcW w:type="dxa" w:w="936"/>
            <w:vAlign w:val="center"/>
          </w:tcPr>
          <w:p>
            <w:pPr>
              <w:spacing w:before="0" w:after="0" w:line="240" w:lineRule="auto"/>
              <w:jc w:val="left"/>
            </w:pPr>
            <w:r>
              <w:rPr>
                <w:rFonts w:ascii="Times New Roman" w:hAnsi="Times New Roman"/>
                <w:sz w:val="16"/>
              </w:rPr>
              <w:t>10</w:t>
            </w:r>
          </w:p>
        </w:tc>
        <w:tc>
          <w:tcPr>
            <w:tcW w:type="dxa" w:w="1800"/>
            <w:vAlign w:val="center"/>
          </w:tcPr>
          <w:p>
            <w:pPr>
              <w:spacing w:before="0" w:after="0" w:line="240" w:lineRule="auto"/>
              <w:jc w:val="center"/>
            </w:pPr>
            <w:r>
              <w:rPr>
                <w:rFonts w:ascii="Times New Roman" w:hAnsi="Times New Roman"/>
                <w:sz w:val="16"/>
              </w:rPr>
              <w:t>0.100</w:t>
            </w:r>
          </w:p>
        </w:tc>
        <w:tc>
          <w:tcPr>
            <w:tcW w:type="dxa" w:w="2088"/>
            <w:vAlign w:val="center"/>
          </w:tcPr>
          <w:p>
            <w:pPr>
              <w:spacing w:before="0" w:after="0" w:line="240" w:lineRule="auto"/>
              <w:jc w:val="center"/>
            </w:pPr>
            <w:r>
              <w:rPr>
                <w:rFonts w:ascii="Times New Roman" w:hAnsi="Times New Roman"/>
                <w:sz w:val="16"/>
              </w:rPr>
              <w:t>9.94</w:t>
            </w:r>
          </w:p>
        </w:tc>
        <w:tc>
          <w:tcPr>
            <w:tcW w:type="dxa" w:w="1512"/>
            <w:vAlign w:val="center"/>
          </w:tcPr>
          <w:p>
            <w:pPr>
              <w:spacing w:before="0" w:after="0" w:line="240" w:lineRule="auto"/>
              <w:jc w:val="center"/>
            </w:pPr>
            <w:r>
              <w:rPr>
                <w:rFonts w:ascii="Times New Roman" w:hAnsi="Times New Roman"/>
                <w:sz w:val="16"/>
              </w:rPr>
              <w:t>0.859</w:t>
            </w:r>
          </w:p>
        </w:tc>
      </w:tr>
      <w:tr>
        <w:tc>
          <w:tcPr>
            <w:tcW w:type="dxa" w:w="936"/>
            <w:vAlign w:val="center"/>
          </w:tcPr>
          <w:p>
            <w:pPr>
              <w:spacing w:before="0" w:after="0" w:line="240" w:lineRule="auto"/>
              <w:jc w:val="left"/>
            </w:pPr>
            <w:r>
              <w:rPr>
                <w:rFonts w:ascii="Times New Roman" w:hAnsi="Times New Roman"/>
                <w:sz w:val="16"/>
              </w:rPr>
              <w:t>20</w:t>
            </w:r>
          </w:p>
        </w:tc>
        <w:tc>
          <w:tcPr>
            <w:tcW w:type="dxa" w:w="1800"/>
            <w:vAlign w:val="center"/>
          </w:tcPr>
          <w:p>
            <w:pPr>
              <w:spacing w:before="0" w:after="0" w:line="240" w:lineRule="auto"/>
              <w:jc w:val="center"/>
            </w:pPr>
            <w:r>
              <w:rPr>
                <w:rFonts w:ascii="Times New Roman" w:hAnsi="Times New Roman"/>
                <w:sz w:val="16"/>
              </w:rPr>
              <w:t>0.150</w:t>
            </w:r>
          </w:p>
        </w:tc>
        <w:tc>
          <w:tcPr>
            <w:tcW w:type="dxa" w:w="2088"/>
            <w:vAlign w:val="center"/>
          </w:tcPr>
          <w:p>
            <w:pPr>
              <w:spacing w:before="0" w:after="0" w:line="240" w:lineRule="auto"/>
              <w:jc w:val="center"/>
            </w:pPr>
            <w:r>
              <w:rPr>
                <w:rFonts w:ascii="Times New Roman" w:hAnsi="Times New Roman"/>
                <w:sz w:val="16"/>
              </w:rPr>
              <w:t>7.46</w:t>
            </w:r>
          </w:p>
        </w:tc>
        <w:tc>
          <w:tcPr>
            <w:tcW w:type="dxa" w:w="1512"/>
            <w:vAlign w:val="center"/>
          </w:tcPr>
          <w:p>
            <w:pPr>
              <w:spacing w:before="0" w:after="0" w:line="240" w:lineRule="auto"/>
              <w:jc w:val="center"/>
            </w:pPr>
            <w:r>
              <w:rPr>
                <w:rFonts w:ascii="Times New Roman" w:hAnsi="Times New Roman"/>
                <w:sz w:val="16"/>
              </w:rPr>
              <w:t>0.876</w:t>
            </w:r>
          </w:p>
        </w:tc>
      </w:tr>
      <w:tr>
        <w:tc>
          <w:tcPr>
            <w:tcW w:type="dxa" w:w="936"/>
            <w:vAlign w:val="center"/>
          </w:tcPr>
          <w:p>
            <w:pPr>
              <w:spacing w:before="0" w:after="0" w:line="240" w:lineRule="auto"/>
              <w:jc w:val="left"/>
            </w:pPr>
            <w:r>
              <w:rPr>
                <w:rFonts w:ascii="Times New Roman" w:hAnsi="Times New Roman"/>
                <w:sz w:val="16"/>
              </w:rPr>
              <w:t>99</w:t>
            </w:r>
          </w:p>
        </w:tc>
        <w:tc>
          <w:tcPr>
            <w:tcW w:type="dxa" w:w="1800"/>
            <w:vAlign w:val="center"/>
          </w:tcPr>
          <w:p>
            <w:pPr>
              <w:spacing w:before="0" w:after="0" w:line="240" w:lineRule="auto"/>
              <w:jc w:val="center"/>
            </w:pPr>
            <w:r>
              <w:rPr>
                <w:rFonts w:ascii="Times New Roman" w:hAnsi="Times New Roman"/>
                <w:sz w:val="16"/>
              </w:rPr>
              <w:t>0.485</w:t>
            </w:r>
          </w:p>
        </w:tc>
        <w:tc>
          <w:tcPr>
            <w:tcW w:type="dxa" w:w="2088"/>
            <w:vAlign w:val="center"/>
          </w:tcPr>
          <w:p>
            <w:pPr>
              <w:spacing w:before="0" w:after="0" w:line="240" w:lineRule="auto"/>
              <w:jc w:val="center"/>
            </w:pPr>
            <w:r>
              <w:rPr>
                <w:rFonts w:ascii="Times New Roman" w:hAnsi="Times New Roman"/>
                <w:sz w:val="16"/>
              </w:rPr>
              <w:t>4.87</w:t>
            </w:r>
          </w:p>
        </w:tc>
        <w:tc>
          <w:tcPr>
            <w:tcW w:type="dxa" w:w="1512"/>
            <w:vAlign w:val="center"/>
          </w:tcPr>
          <w:p>
            <w:pPr>
              <w:spacing w:before="0" w:after="0" w:line="240" w:lineRule="auto"/>
              <w:jc w:val="center"/>
            </w:pPr>
            <w:r>
              <w:rPr>
                <w:rFonts w:ascii="Times New Roman" w:hAnsi="Times New Roman"/>
                <w:sz w:val="16"/>
              </w:rPr>
              <w:t>0.898</w:t>
            </w:r>
          </w:p>
        </w:tc>
      </w:tr>
      <w:tr>
        <w:tc>
          <w:tcPr>
            <w:tcW w:type="dxa" w:w="936"/>
            <w:vAlign w:val="center"/>
          </w:tcPr>
          <w:p>
            <w:pPr>
              <w:spacing w:before="0" w:after="0" w:line="240" w:lineRule="auto"/>
              <w:jc w:val="left"/>
            </w:pPr>
            <w:r>
              <w:rPr>
                <w:rFonts w:ascii="Times New Roman" w:hAnsi="Times New Roman"/>
                <w:sz w:val="16"/>
              </w:rPr>
              <w:t>199</w:t>
            </w:r>
          </w:p>
        </w:tc>
        <w:tc>
          <w:tcPr>
            <w:tcW w:type="dxa" w:w="1800"/>
            <w:vAlign w:val="center"/>
          </w:tcPr>
          <w:p>
            <w:pPr>
              <w:spacing w:before="0" w:after="0" w:line="240" w:lineRule="auto"/>
              <w:jc w:val="center"/>
            </w:pPr>
            <w:r>
              <w:rPr>
                <w:rFonts w:ascii="Times New Roman" w:hAnsi="Times New Roman"/>
                <w:sz w:val="16"/>
              </w:rPr>
              <w:t>0.543</w:t>
            </w:r>
          </w:p>
        </w:tc>
        <w:tc>
          <w:tcPr>
            <w:tcW w:type="dxa" w:w="2088"/>
            <w:vAlign w:val="center"/>
          </w:tcPr>
          <w:p>
            <w:pPr>
              <w:spacing w:before="0" w:after="0" w:line="240" w:lineRule="auto"/>
              <w:jc w:val="center"/>
            </w:pPr>
            <w:r>
              <w:rPr>
                <w:rFonts w:ascii="Times New Roman" w:hAnsi="Times New Roman"/>
                <w:sz w:val="16"/>
              </w:rPr>
              <w:t>2.71</w:t>
            </w:r>
          </w:p>
        </w:tc>
        <w:tc>
          <w:tcPr>
            <w:tcW w:type="dxa" w:w="1512"/>
            <w:vAlign w:val="center"/>
          </w:tcPr>
          <w:p>
            <w:pPr>
              <w:spacing w:before="0" w:after="0" w:line="240" w:lineRule="auto"/>
              <w:jc w:val="center"/>
            </w:pPr>
            <w:r>
              <w:rPr>
                <w:rFonts w:ascii="Times New Roman" w:hAnsi="Times New Roman"/>
                <w:sz w:val="16"/>
              </w:rPr>
              <w:t>0.907</w:t>
            </w:r>
          </w:p>
        </w:tc>
      </w:tr>
    </w:tbl>
    <w:p>
      <w:pPr>
        <w:spacing w:after="40"/>
      </w:pP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noProof/>
        </w:rPr>
        <w:t xml:space="preserve">For delay, the primary LightGBM model produced a within-algorithm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of -0.1264; the augmented model was worse and the paired absolute-error p-value was 0.1363. For repeat rate, the primary LightGBM difference was +0.0017; the augmented model was slightly better but its paired absolute-error p-value was 0.05281. The last-value baseline was stronger than both learned model families for both targets. These comparisons therefore frame the study as a negative or near-null test of incremental language value, rather than evidence that NLP beats operational persistence.</w:t>
      </w:r>
    </w:p>
    <w:p>
      <w:pPr>
        <w:spacing w:before="0" w:after="120" w:line="259" w:lineRule="auto"/>
      </w:pPr>
      <w:r>
        <w:rPr>
          <w:rFonts w:ascii="Times New Roman" w:hAnsi="Times New Roman"/>
          <w:b w:val="0"/>
          <w:i w:val="0"/>
          <w:sz w:val="22"/>
        </w:rPr>
        <w:t>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r>
    </w:p>
    <w:p>
      <w:pPr>
        <w:spacing w:before="0" w:after="120" w:line="259" w:lineRule="auto"/>
      </w:pPr>
      <w:r>
        <w:rPr>
          <w:rFonts w:ascii="Times New Roman" w:hAnsi="Times New Roman"/>
          <w:b w:val="0"/>
          <w:i w:val="0"/>
          <w:sz w:val="22"/>
        </w:rPr>
        <w:t>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w:t>
      </w:r>
    </w:p>
    <w:p>
      <w:pPr>
        <w:spacing w:before="0" w:after="120" w:line="259" w:lineRule="auto"/>
      </w:pPr>
      <w:r>
        <w:rPr>
          <w:rFonts w:ascii="Times New Roman" w:hAnsi="Times New Roman"/>
          <w:b w:val="0"/>
          <w:i w:val="0"/>
          <w:sz w:val="22"/>
        </w:rPr>
        <w:t>The ABSA scores should not be compared directly with product-review scores because these municipal descriptions are agency-authored, often formulaic, and only indirectly connected to citizen voice.</w:t>
      </w:r>
    </w:p>
    <w:p>
      <w:pPr>
        <w:spacing w:before="0" w:after="120" w:line="259" w:lineRule="auto"/>
      </w:pPr>
      <w:r>
        <w:rPr>
          <w:rFonts w:ascii="Times New Roman" w:hAnsi="Times New Roman"/>
          <w:b w:val="0"/>
          <w:i w:val="0"/>
          <w:sz w:val="22"/>
        </w:rPr>
        <w:t>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r>
    </w:p>
    <w:p>
      <w:pPr>
        <w:spacing w:before="0" w:after="120" w:line="259" w:lineRule="auto"/>
      </w:pPr>
      <w:r>
        <w:rPr>
          <w:rFonts w:ascii="Times New Roman" w:hAnsi="Times New Roman"/>
          <w:b w:val="0"/>
          <w:i w:val="0"/>
          <w:sz w:val="22"/>
        </w:rPr>
        <w:t>There are several limitations. RSAT suppresses open-ended comments, so ABSA is a domain-transfer evaluation of agency narratives rather than a human-validated study of citizen prose. The study covers one city and one held-out year. ABSA has only 593 distinct normalised descriptions despite many survey rows, and label ambiguity remains.</w:t>
      </w:r>
    </w:p>
    <w:p>
      <w:pPr>
        <w:spacing w:before="0" w:after="120" w:line="259" w:lineRule="auto"/>
      </w:pPr>
      <w:r>
        <w:rPr>
          <w:rFonts w:ascii="Times New Roman" w:hAnsi="Times New Roman"/>
          <w:b w:val="0"/>
          <w:i w:val="0"/>
          <w:sz w:val="22"/>
        </w:rPr>
        <w:t>Address recurrence is not the same as a verified repeated incident, and the selected fields do not identify multi-unit buildings. Cells sharing services and boroughs are not fully independent, so paired error tests are supporting evidence rather than definitive population inference. The reproducibility archive is prepared, but a DOI requires upload through an author-owned repository account.</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noProof/>
        </w:rPr>
        <w:t xml:space="preserve">This project tested whether language and satisfaction signals improve aggregate municipal service monitoring. A complete 4,204,783-record operational extract and 406,581 survey responses were combined at privacy-safe service-borough-month grain. The primary design uses train-only topic models, duplicate-controlled ABSA, and month-t features to predict month-(t+1) outcomes on 994 held-out 2024 cells. Against the primary LightGBM structured model, the augmented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by -0.1264, while the repeat-rate difference was +0.0017. Both results are weaker than the simple last-value baselines, so the evidence does not support a general claim that NLP improves one-month-ahead prediction. These are predictive, algorithm-specific results rather than causal or universal claims. The dashboard turns the model into a review queue whose held-out ranking quality is reported with Precision@k. External-city validation and human annotation of genuine citizen text remain important future work.</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Zenodo.</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