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Project Report Draft</w:t>
      </w:r>
    </w:p>
    <w:p>
      <w:pPr>
        <w:jc w:val="center"/>
      </w:pPr>
      <w:r>
        <w:rPr>
          <w:color w:val="595959"/>
          <w:sz w:val="24"/>
        </w:rPr>
        <w:t>SHAP-Guided Drift Diagnosis for Adaptive Anomaly Detection in AWS CloudTrail</w:t>
      </w:r>
    </w:p>
    <w:p/>
    <w:p>
      <w:r>
        <w:t>Project number: XX (replace with assigned number) | Working target: IEEE Transactions on Cloud Computing (Q1 in attached 2023 JCR list)</w:t>
      </w:r>
    </w:p>
    <w:p>
      <w:pPr>
        <w:pStyle w:val="Heading1"/>
      </w:pPr>
      <w:r>
        <w:t>1. Abstract</w:t>
      </w:r>
    </w:p>
    <w:p>
      <w:r>
        <w:t>This project evaluates whether feature-distribution drift and SHAP-attribution drift provide complementary evidence for deciding when an unsupervised AWS CloudTrail anomaly detector should be adapted. The primary corpus contains 1,939,207 unlabeled records across 45 monthly windows. A controlled semi-synthetic benchmark provides labelled benign and security-relevant perturbations. The project includes Isolation Forest detection, SHAP validation, drift monitoring, protected adaptation, detector/window ablations, uncertainty estimates, and detector-only external validation on a separate labelled CloudTrail corpus.</w:t>
      </w:r>
    </w:p>
    <w:p>
      <w:pPr>
        <w:pStyle w:val="Heading1"/>
      </w:pPr>
      <w:r>
        <w:t>2. Problem statement</w:t>
      </w:r>
    </w:p>
    <w:p>
      <w:r>
        <w:t>Cloud audit behavior changes over time because of legitimate service growth, region changes, automation, and identity changes. A detector that never adapts may become stale; indiscriminate retraining can absorb contamination. The project therefore studies attribution-aware drift diagnosis as an adaptation gate.</w:t>
      </w:r>
    </w:p>
    <w:p>
      <w:pPr>
        <w:pStyle w:val="Heading1"/>
      </w:pPr>
      <w:r>
        <w:t>3. Objectives</w:t>
      </w:r>
    </w:p>
    <w:p>
      <w:r>
        <w:t>(i) quantify monthly feature and attribution drift; (ii) compare feature-only, SHAP-only, periodic, static, and dual-signal adaptation; (iii) evaluate controlled benign/security perturbations; (iv) test detector and sample-size robustness; and (v) document a reproducible protocol suitable for journal review.</w:t>
      </w:r>
    </w:p>
    <w:p>
      <w:pPr>
        <w:pStyle w:val="Heading1"/>
      </w:pPr>
      <w:r>
        <w:t>4. Methodology</w:t>
      </w:r>
    </w:p>
    <w:p>
      <w:r>
        <w:t>The pipeline uses chronological train/validation/test partitions, training-only categorical maps, an Isolation Forest baseline, TreeSHAP explanation checks, feature and attribution drift metrics, validation-tuned diagnosis thresholds, protected retraining, paired statistical inference, detector/window ablations, and a separate external detector plus temporal-diagnosis track.</w:t>
      </w:r>
    </w:p>
    <w:p>
      <w:pPr>
        <w:pStyle w:val="Heading1"/>
      </w:pPr>
      <w:r>
        <w:t>5. Results</w:t>
      </w:r>
    </w:p>
    <w:p>
      <w:r>
        <w:t>The controlled diagnosis benchmark achieved validation macro-F1 0.7306. In the adaptation comparison, dual-signal gating reduced false-positive rate relative to static adaptation by a paired mean difference of -0.0885 with Benjamini–Hochberg adjusted q=0.00043; its F1 difference was -0.0028 with a 95% bootstrap interval of [-0.0181, 0.0112]. On the independent labeled CloudTrail corpus, Isolation Forest achieved recall 0.7137, F1 0.4519, and false-positive rate 0.1738. These are protocol-specific results, not claims of production security effectiveness.</w:t>
      </w:r>
    </w:p>
    <w:p>
      <w:pPr>
        <w:pStyle w:val="Heading1"/>
      </w:pPr>
      <w:r>
        <w:t>6. Novelty and contribution</w:t>
      </w:r>
    </w:p>
    <w:p>
      <w:r>
        <w:t>The defensible novelty is the CloudTrail-specific evaluation protocol: real unlabeled monthly observation, controlled labelled perturbations, attribution-aware diagnosis, protected adaptation, and explicit unnecessary-adaptation measurement. The paper must not claim that SHAP drift, Isolation Forest, or drift detection was invented here.</w:t>
      </w:r>
    </w:p>
    <w:p>
      <w:pPr>
        <w:pStyle w:val="Heading1"/>
      </w:pPr>
      <w:r>
        <w:t>7. Limitations</w:t>
      </w:r>
    </w:p>
    <w:p>
      <w:r>
        <w:t>The primary corpus is unlabeled and concentrated in a small number of months/event types. The controlled benchmark is semi-synthetic. Ordinal categorical encoding may impose artificial geometry. The external temporal checkpoint is coarse, scenario-window based, and neutral across policies; full post-adaptation recovery and analyst-confirmed incident validation remain future work.</w:t>
      </w:r>
    </w:p>
    <w:p>
      <w:pPr>
        <w:pStyle w:val="Heading1"/>
      </w:pPr>
      <w:r>
        <w:t>8. Journal outcome plan</w:t>
      </w:r>
    </w:p>
    <w:p>
      <w:r>
        <w:t>Working target: IEEE Transactions on Cloud Computing. Practical alternatives: Journal of Cloud Computing and Journal of Information Security and Applications. IEEE Transactions on Dependable and Secure Computing is a stretch target. Computers &amp; Security is not the default target because its current official scope warns of an AI/ML moratorium. Quartiles are from the attached 2023 JCR workbook and must be rechecked before submission.</w:t>
      </w:r>
    </w:p>
    <w:p>
      <w:pPr>
        <w:pStyle w:val="Heading1"/>
      </w:pPr>
      <w:r>
        <w:t>9. Submission readiness</w:t>
      </w:r>
    </w:p>
    <w:p>
      <w:r>
        <w:t>Technical implementation: ready for demonstration. Research manuscript: strong draft, but requires supervisor review, final human PRISMA screening, full-text extraction, risk-of-bias assessment, current journal verification, and final formatting.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