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Forge security logging addendum</w:t>
      </w:r>
    </w:p>
    <w:p>
      <w:pPr>
        <w:spacing w:after="40"/>
      </w:pPr>
      <w:r>
        <w:rPr>
          <w:color w:val="475569"/>
          <w:sz w:val="18"/>
        </w:rPr>
        <w:t>Date: 2026-09-12</w:t>
      </w:r>
    </w:p>
    <w:p>
      <w:pPr>
        <w:spacing w:after="40"/>
      </w:pPr>
      <w:r>
        <w:rPr>
          <w:color w:val="475569"/>
          <w:sz w:val="18"/>
        </w:rPr>
        <w:t>Author: Theo Haddad</w:t>
      </w:r>
    </w:p>
    <w:p>
      <w:pPr>
        <w:spacing w:after="40"/>
      </w:pPr>
      <w:r>
        <w:rPr>
          <w:color w:val="475569"/>
          <w:sz w:val="18"/>
        </w:rPr>
        <w:t>Attendees: Theo Haddad; Sofia Ortiz</w:t>
      </w:r>
    </w:p>
    <w:p>
      <w:pPr>
        <w:spacing w:after="40"/>
      </w:pPr>
      <w:r>
        <w:rPr>
          <w:color w:val="475569"/>
          <w:sz w:val="18"/>
        </w:rPr>
        <w:t>Client: Atlas Forge</w:t>
      </w:r>
    </w:p>
    <w:p>
      <w:pPr>
        <w:spacing w:after="40"/>
      </w:pPr>
      <w:r>
        <w:rPr>
          <w:color w:val="475569"/>
          <w:sz w:val="18"/>
        </w:rPr>
        <w:t>Domain: Security</w:t>
      </w:r>
    </w:p>
    <w:p>
      <w:pPr>
        <w:spacing w:after="40"/>
      </w:pPr>
      <w:r>
        <w:rPr>
          <w:color w:val="475569"/>
          <w:sz w:val="18"/>
        </w:rPr>
        <w:t>Priority: Critical</w:t>
      </w:r>
    </w:p>
    <w:p>
      <w:pPr>
        <w:spacing w:after="40"/>
      </w:pPr>
      <w:r>
        <w:rPr>
          <w:color w:val="475569"/>
          <w:sz w:val="18"/>
        </w:rPr>
        <w:t>Classification: SYNTHETIC — fictional evaluation material</w:t>
      </w:r>
    </w:p>
    <w:p>
      <w:pPr>
        <w:pStyle w:val="Heading1"/>
      </w:pPr>
      <w:r>
        <w:t>Approved logging boundaries</w:t>
      </w:r>
    </w:p>
    <w:p>
      <w:r>
        <w:t>Atlas diagnostic logs contain request IDs, error codes, duration, and redaction outcome only. Raw prompts, operator names, email addresses, and raw device telemetry must never be written to application logs.</w:t>
      </w:r>
    </w:p>
    <w:p>
      <w:pPr>
        <w:pStyle w:val="Heading1"/>
      </w:pPr>
      <w:r>
        <w:t>Retention and location</w:t>
      </w:r>
    </w:p>
    <w:p>
      <w:r>
        <w:t>Retain redacted diagnostic logs for 30 days in Frankfurt. Theo Haddad owns approval of any retention change. The deletion job runs daily and Sofia Ortiz owns its operational alert.</w:t>
      </w:r>
    </w:p>
    <w:p>
      <w:pPr>
        <w:pStyle w:val="Heading1"/>
      </w:pPr>
      <w:r>
        <w:t>Security gate</w:t>
      </w:r>
    </w:p>
    <w:p>
      <w:r>
        <w:t>Launch remains conditional on all redaction tests passing, an approved least-privilege role matrix, and client acknowledgment of the runbook. This addendum does not attest that the open provider zero-retention contract is signed.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Forge — security logging addendum</dc:title>
  <dc:subject>Security</dc:subject>
  <dc:creator>Theo Haddad</dc:creator>
  <cp:keywords/>
  <dc:description>generated by python-docx</dc:description>
  <cp:lastModifiedBy/>
  <cp:revision>1</cp:revision>
  <dcterms:created xsi:type="dcterms:W3CDTF">2026-09-12T12:00:00Z</dcterms:created>
  <dcterms:modified xsi:type="dcterms:W3CDTF">2026-09-12T12:00:00Z</dcterms:modified>
  <cp:category/>
</cp:coreProperties>
</file>