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25F57">
      <w:pPr>
        <w:spacing w:before="240" w:after="0"/>
      </w:pPr>
      <w:bookmarkStart w:id="0" w:name="_GoBack"/>
      <w:bookmarkEnd w:id="0"/>
      <w:r>
        <w:rPr>
          <w:b/>
          <w:bCs/>
          <w:color w:val="1D9E75"/>
          <w:spacing w:val="40"/>
          <w:sz w:val="18"/>
          <w:szCs w:val="18"/>
        </w:rPr>
        <w:t>SANS “FIND EVIL” HACKATHON  ·  SELF-ASSESSMENT</w:t>
      </w:r>
    </w:p>
    <w:p w14:paraId="3BD939B7">
      <w:pPr>
        <w:spacing w:before="60" w:after="0"/>
      </w:pPr>
      <w:r>
        <w:rPr>
          <w:b/>
          <w:bCs/>
          <w:color w:val="0B3D62"/>
          <w:sz w:val="48"/>
          <w:szCs w:val="48"/>
        </w:rPr>
        <w:t>Accuracy Report</w:t>
      </w:r>
    </w:p>
    <w:p w14:paraId="1FB99A8A">
      <w:pPr>
        <w:pBdr>
          <w:bottom w:val="single" w:color="0B3D62" w:sz="24" w:space="8"/>
        </w:pBdr>
        <w:spacing w:before="30" w:after="120"/>
      </w:pPr>
      <w:r>
        <w:rPr>
          <w:i/>
          <w:iCs/>
          <w:color w:val="0B5394"/>
          <w:sz w:val="26"/>
          <w:szCs w:val="26"/>
        </w:rPr>
        <w:t>Find Evil! — Autonomous DFIR Triage Agent</w:t>
      </w:r>
    </w:p>
    <w:p w14:paraId="562CC0AA">
      <w:pPr>
        <w:spacing w:after="130" w:line="288" w:lineRule="auto"/>
      </w:pPr>
      <w:r>
        <w:rPr>
          <w:color w:val="1F2328"/>
          <w:sz w:val="21"/>
          <w:szCs w:val="21"/>
        </w:rPr>
        <w:t>A candid self-assessment of how accurate the agent's findings are, where it produced false positives, naming imprecisions or missed artifacts, what hallucinations we caught and corrected during development, and how the architecture protects the original evidence. We document failure modes deliberately — they are the most useful signal a reviewer can have.</w:t>
      </w:r>
    </w:p>
    <w:p w14:paraId="5C69D06C">
      <w:pPr>
        <w:spacing w:after="130" w:line="288" w:lineRule="auto"/>
      </w:pPr>
      <w:r>
        <w:rPr>
          <w:i/>
          <w:iCs/>
          <w:color w:val="5F5E5A"/>
          <w:sz w:val="21"/>
          <w:szCs w:val="21"/>
        </w:rPr>
        <w:t>Both validated cases were cross-checked against external ground truth: the NIST CFReDS answer key for the Hacking Case and the published Digital Corpora / Infosec writeups for M57-Jean. This report reflects that verification, not just our own runs.</w:t>
      </w:r>
    </w:p>
    <w:p w14:paraId="67520969">
      <w:pPr>
        <w:spacing w:before="340" w:after="20"/>
      </w:pPr>
      <w:r>
        <w:rPr>
          <w:b/>
          <w:bCs/>
          <w:color w:val="1D9E75"/>
          <w:spacing w:val="30"/>
          <w:sz w:val="18"/>
          <w:szCs w:val="18"/>
        </w:rPr>
        <w:t>METHODOLOGY</w:t>
      </w:r>
    </w:p>
    <w:p w14:paraId="7A37CF31">
      <w:pPr>
        <w:pStyle w:val="2"/>
        <w:pBdr>
          <w:bottom w:val="single" w:color="1D9E75" w:sz="18" w:space="6"/>
        </w:pBdr>
        <w:spacing w:before="0" w:after="150"/>
      </w:pPr>
      <w:r>
        <w:rPr>
          <w:b/>
          <w:bCs/>
          <w:color w:val="0B3D62"/>
          <w:sz w:val="28"/>
          <w:szCs w:val="28"/>
        </w:rPr>
        <w:t>How We Assess Accuracy</w:t>
      </w:r>
    </w:p>
    <w:p w14:paraId="22775E59">
      <w:pPr>
        <w:spacing w:after="130" w:line="288" w:lineRule="auto"/>
      </w:pPr>
      <w:r>
        <w:rPr>
          <w:color w:val="1F2328"/>
          <w:sz w:val="21"/>
          <w:szCs w:val="21"/>
        </w:rPr>
        <w:t>The agent is a triage tool: it surfaces the decisive findings of a case quickly and cites them; it is not a full forensic examination. We assess it on three axes:</w:t>
      </w:r>
    </w:p>
    <w:p w14:paraId="0A6B5677">
      <w:pPr>
        <w:pStyle w:val="16"/>
        <w:numPr>
          <w:ilvl w:val="0"/>
          <w:numId w:val="1"/>
        </w:numPr>
        <w:spacing w:after="50" w:line="278" w:lineRule="auto"/>
      </w:pPr>
      <w:r>
        <w:rPr>
          <w:b/>
          <w:bCs/>
          <w:color w:val="1F2328"/>
          <w:sz w:val="20"/>
          <w:szCs w:val="20"/>
        </w:rPr>
        <w:t>Correctness</w:t>
      </w:r>
      <w:r>
        <w:rPr>
          <w:color w:val="1F2328"/>
          <w:sz w:val="20"/>
          <w:szCs w:val="20"/>
        </w:rPr>
        <w:t xml:space="preserve"> — are the reported findings actually true of the disk (vs. published ground truth)?</w:t>
      </w:r>
    </w:p>
    <w:p w14:paraId="23012ACB">
      <w:pPr>
        <w:pStyle w:val="16"/>
        <w:numPr>
          <w:ilvl w:val="0"/>
          <w:numId w:val="1"/>
        </w:numPr>
        <w:spacing w:after="50" w:line="278" w:lineRule="auto"/>
      </w:pPr>
      <w:r>
        <w:rPr>
          <w:b/>
          <w:bCs/>
          <w:color w:val="1F2328"/>
          <w:sz w:val="20"/>
          <w:szCs w:val="20"/>
        </w:rPr>
        <w:t>False positives / imprecision</w:t>
      </w:r>
      <w:r>
        <w:rPr>
          <w:color w:val="1F2328"/>
          <w:sz w:val="20"/>
          <w:szCs w:val="20"/>
        </w:rPr>
        <w:t xml:space="preserve"> — does it assert untrue things, or name things imprecisely?</w:t>
      </w:r>
    </w:p>
    <w:p w14:paraId="175CBC3E">
      <w:pPr>
        <w:pStyle w:val="16"/>
        <w:numPr>
          <w:ilvl w:val="0"/>
          <w:numId w:val="1"/>
        </w:numPr>
        <w:spacing w:after="50" w:line="278" w:lineRule="auto"/>
      </w:pPr>
      <w:r>
        <w:rPr>
          <w:b/>
          <w:bCs/>
          <w:color w:val="1F2328"/>
          <w:sz w:val="20"/>
          <w:szCs w:val="20"/>
        </w:rPr>
        <w:t>Recall / missed artifacts</w:t>
      </w:r>
      <w:r>
        <w:rPr>
          <w:color w:val="1F2328"/>
          <w:sz w:val="20"/>
          <w:szCs w:val="20"/>
        </w:rPr>
        <w:t xml:space="preserve"> — does it miss things a triage analyst should have caught?</w:t>
      </w:r>
    </w:p>
    <w:p w14:paraId="6538F676">
      <w:pPr>
        <w:spacing w:after="130" w:line="288" w:lineRule="auto"/>
      </w:pPr>
      <w:r>
        <w:rPr>
          <w:color w:val="1F2328"/>
          <w:sz w:val="21"/>
          <w:szCs w:val="21"/>
        </w:rPr>
        <w:t>Every finding is self-labelled CONFIRMED / LIKELY / UNVERIFIED — itself an accuracy mechanism. As shown below, the imprecisions we found were correctly carried at LIKELY, not CONFIRMED.</w:t>
      </w:r>
    </w:p>
    <w:p w14:paraId="0A0BE4FC">
      <w:pPr>
        <w:spacing w:before="340" w:after="20"/>
      </w:pPr>
      <w:r>
        <w:rPr>
          <w:b/>
          <w:bCs/>
          <w:color w:val="1D9E75"/>
          <w:spacing w:val="30"/>
          <w:sz w:val="18"/>
          <w:szCs w:val="18"/>
        </w:rPr>
        <w:t>RESULTS</w:t>
      </w:r>
    </w:p>
    <w:p w14:paraId="5E7B7A84">
      <w:pPr>
        <w:pStyle w:val="2"/>
        <w:pBdr>
          <w:bottom w:val="single" w:color="1D9E75" w:sz="18" w:space="6"/>
        </w:pBdr>
        <w:spacing w:before="0" w:after="150"/>
      </w:pPr>
      <w:r>
        <w:rPr>
          <w:b/>
          <w:bCs/>
          <w:color w:val="0B3D62"/>
          <w:sz w:val="28"/>
          <w:szCs w:val="28"/>
        </w:rPr>
        <w:t>Per-Case Accuracy (Verified Against Ground Truth)</w:t>
      </w:r>
    </w:p>
    <w:p w14:paraId="27BC41D8">
      <w:pPr>
        <w:pStyle w:val="3"/>
        <w:spacing w:before="220" w:after="90"/>
      </w:pPr>
      <w:r>
        <w:rPr>
          <w:b/>
          <w:bCs/>
          <w:color w:val="0B5394"/>
          <w:sz w:val="22"/>
          <w:szCs w:val="22"/>
        </w:rPr>
        <w:t>Case 1 — CFReDS “Mr. Evil” (intrusion)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50"/>
        <w:gridCol w:w="6310"/>
      </w:tblGrid>
      <w:tr w14:paraId="21B3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50" w:type="dxa"/>
            <w:tcBorders>
              <w:top w:val="single" w:color="D0D7DE" w:sz="4" w:space="0"/>
              <w:left w:val="single" w:color="D0D7DE" w:sz="4" w:space="0"/>
              <w:bottom w:val="single" w:color="D0D7DE" w:sz="4" w:space="0"/>
              <w:right w:val="single" w:color="D0D7DE" w:sz="4" w:space="0"/>
            </w:tcBorders>
            <w:shd w:val="clear" w:color="auto" w:fill="0B3D62"/>
            <w:tcMar>
              <w:top w:w="62" w:type="dxa"/>
              <w:left w:w="115" w:type="dxa"/>
              <w:bottom w:w="62" w:type="dxa"/>
              <w:right w:w="115" w:type="dxa"/>
            </w:tcMar>
            <w:vAlign w:val="center"/>
          </w:tcPr>
          <w:p w14:paraId="0A5608E2">
            <w:pPr>
              <w:spacing w:after="0" w:line="258" w:lineRule="auto"/>
            </w:pPr>
            <w:r>
              <w:rPr>
                <w:b/>
                <w:bCs/>
                <w:color w:val="FFFFFF"/>
                <w:sz w:val="18"/>
                <w:szCs w:val="18"/>
              </w:rPr>
              <w:t>Dimension</w:t>
            </w:r>
          </w:p>
        </w:tc>
        <w:tc>
          <w:tcPr>
            <w:tcW w:w="6310" w:type="dxa"/>
            <w:tcBorders>
              <w:top w:val="single" w:color="D0D7DE" w:sz="4" w:space="0"/>
              <w:left w:val="single" w:color="D0D7DE" w:sz="4" w:space="0"/>
              <w:bottom w:val="single" w:color="D0D7DE" w:sz="4" w:space="0"/>
              <w:right w:val="single" w:color="D0D7DE" w:sz="4" w:space="0"/>
            </w:tcBorders>
            <w:shd w:val="clear" w:color="auto" w:fill="0B3D62"/>
            <w:tcMar>
              <w:top w:w="62" w:type="dxa"/>
              <w:left w:w="115" w:type="dxa"/>
              <w:bottom w:w="62" w:type="dxa"/>
              <w:right w:w="115" w:type="dxa"/>
            </w:tcMar>
            <w:vAlign w:val="center"/>
          </w:tcPr>
          <w:p w14:paraId="0BA8EE08">
            <w:pPr>
              <w:spacing w:after="0" w:line="258" w:lineRule="auto"/>
            </w:pPr>
            <w:r>
              <w:rPr>
                <w:b/>
                <w:bCs/>
                <w:color w:val="FFFFFF"/>
                <w:sz w:val="18"/>
                <w:szCs w:val="18"/>
              </w:rPr>
              <w:t>Result</w:t>
            </w:r>
          </w:p>
        </w:tc>
      </w:tr>
      <w:tr w14:paraId="24D0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6318CB27">
            <w:pPr>
              <w:spacing w:after="0" w:line="258" w:lineRule="auto"/>
            </w:pPr>
            <w:r>
              <w:rPr>
                <w:b w:val="0"/>
                <w:bCs w:val="0"/>
                <w:color w:val="1F2328"/>
                <w:sz w:val="18"/>
                <w:szCs w:val="18"/>
              </w:rPr>
              <w:t>Case classification</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4740D699">
            <w:pPr>
              <w:spacing w:after="0" w:line="256" w:lineRule="auto"/>
            </w:pPr>
            <w:r>
              <w:rPr>
                <w:b/>
                <w:bCs/>
                <w:color w:val="1D9E75"/>
                <w:sz w:val="18"/>
                <w:szCs w:val="18"/>
              </w:rPr>
              <w:t xml:space="preserve">✔ </w:t>
            </w:r>
            <w:r>
              <w:rPr>
                <w:color w:val="1F2328"/>
                <w:sz w:val="18"/>
                <w:szCs w:val="18"/>
              </w:rPr>
              <w:t>Correct — attacker staging system (intrusion)</w:t>
            </w:r>
          </w:p>
        </w:tc>
      </w:tr>
      <w:tr w14:paraId="4016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09034103">
            <w:pPr>
              <w:spacing w:after="0" w:line="258" w:lineRule="auto"/>
            </w:pPr>
            <w:r>
              <w:rPr>
                <w:b w:val="0"/>
                <w:bCs w:val="0"/>
                <w:color w:val="1F2328"/>
                <w:sz w:val="18"/>
                <w:szCs w:val="18"/>
              </w:rPr>
              <w:t>Identity / system</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107F470E">
            <w:pPr>
              <w:spacing w:after="0" w:line="256" w:lineRule="auto"/>
            </w:pPr>
            <w:r>
              <w:rPr>
                <w:b/>
                <w:bCs/>
                <w:color w:val="1D9E75"/>
                <w:sz w:val="18"/>
                <w:szCs w:val="18"/>
              </w:rPr>
              <w:t xml:space="preserve">✔ </w:t>
            </w:r>
            <w:r>
              <w:rPr>
                <w:color w:val="1F2328"/>
                <w:sz w:val="18"/>
                <w:szCs w:val="18"/>
              </w:rPr>
              <w:t>Correct — Greg Schardt / “Mr. Evil”, Windows XP, NTFS, offset 63</w:t>
            </w:r>
          </w:p>
        </w:tc>
      </w:tr>
      <w:tr w14:paraId="5A4D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759BBA3E">
            <w:pPr>
              <w:spacing w:after="0" w:line="258" w:lineRule="auto"/>
            </w:pPr>
            <w:r>
              <w:rPr>
                <w:b w:val="0"/>
                <w:bCs w:val="0"/>
                <w:color w:val="1F2328"/>
                <w:sz w:val="18"/>
                <w:szCs w:val="18"/>
              </w:rPr>
              <w:t>Cain &amp; Abel executed</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250C31ED">
            <w:pPr>
              <w:spacing w:after="0" w:line="256" w:lineRule="auto"/>
            </w:pPr>
            <w:r>
              <w:rPr>
                <w:b/>
                <w:bCs/>
                <w:color w:val="1D9E75"/>
                <w:sz w:val="18"/>
                <w:szCs w:val="18"/>
              </w:rPr>
              <w:t xml:space="preserve">✔ </w:t>
            </w:r>
            <w:r>
              <w:rPr>
                <w:color w:val="1F2328"/>
                <w:sz w:val="18"/>
                <w:szCs w:val="18"/>
              </w:rPr>
              <w:t>Correct — prefetch CAIN.EXE-23D61279.pf is the canonical proof-of-execution; correctly the only tool marked CONFIRMED EXECUTED</w:t>
            </w:r>
          </w:p>
        </w:tc>
      </w:tr>
      <w:tr w14:paraId="58B52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2DE16F86">
            <w:pPr>
              <w:spacing w:after="0" w:line="258" w:lineRule="auto"/>
            </w:pPr>
            <w:r>
              <w:rPr>
                <w:b w:val="0"/>
                <w:bCs w:val="0"/>
                <w:color w:val="1F2328"/>
                <w:sz w:val="18"/>
                <w:szCs w:val="18"/>
              </w:rPr>
              <w:t>Extended toolkit (pwdump, SAMDUMP, nmap, nbtscan, enum, netcat, NetBus, SECHOLE, GetAdmin, Brutus, John)</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5B8D889F">
            <w:pPr>
              <w:spacing w:after="0" w:line="256" w:lineRule="auto"/>
            </w:pPr>
            <w:r>
              <w:rPr>
                <w:b/>
                <w:bCs/>
                <w:color w:val="1D9E75"/>
                <w:sz w:val="18"/>
                <w:szCs w:val="18"/>
              </w:rPr>
              <w:t xml:space="preserve">✔ </w:t>
            </w:r>
            <w:r>
              <w:rPr>
                <w:color w:val="1F2328"/>
                <w:sz w:val="18"/>
                <w:szCs w:val="18"/>
              </w:rPr>
              <w:t>Correct / not hallucinated — published analyses confirm this disk carries enumeration/exploitation tool folders; the agent correctly labels these PRESENT, not executed</w:t>
            </w:r>
          </w:p>
        </w:tc>
      </w:tr>
      <w:tr w14:paraId="1262D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3D9BAADB">
            <w:pPr>
              <w:spacing w:after="0" w:line="258" w:lineRule="auto"/>
            </w:pPr>
            <w:r>
              <w:rPr>
                <w:b w:val="0"/>
                <w:bCs w:val="0"/>
                <w:color w:val="1F2328"/>
                <w:sz w:val="18"/>
                <w:szCs w:val="18"/>
              </w:rPr>
              <w:t>Deleted wireless/capture tools (Ethereal, WinPcap, NetStumbler)</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1BB34DB9">
            <w:pPr>
              <w:spacing w:after="0" w:line="256" w:lineRule="auto"/>
            </w:pPr>
            <w:r>
              <w:rPr>
                <w:b/>
                <w:bCs/>
                <w:color w:val="1D9E75"/>
                <w:sz w:val="18"/>
                <w:szCs w:val="18"/>
              </w:rPr>
              <w:t xml:space="preserve">✔ </w:t>
            </w:r>
            <w:r>
              <w:rPr>
                <w:color w:val="1F2328"/>
                <w:sz w:val="18"/>
                <w:szCs w:val="18"/>
              </w:rPr>
              <w:t>Correct — recovered from Recycle Bin (INFO2), origin Mr. Evil\Desktop</w:t>
            </w:r>
          </w:p>
        </w:tc>
      </w:tr>
      <w:tr w14:paraId="79C20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67CC56F1">
            <w:pPr>
              <w:spacing w:after="0" w:line="258" w:lineRule="auto"/>
            </w:pPr>
            <w:r>
              <w:rPr>
                <w:b w:val="0"/>
                <w:bCs w:val="0"/>
                <w:color w:val="1F2328"/>
                <w:sz w:val="18"/>
                <w:szCs w:val="18"/>
              </w:rPr>
              <w:t>Fabricated / false-positive artifacts</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22977282">
            <w:pPr>
              <w:spacing w:after="0" w:line="256" w:lineRule="auto"/>
            </w:pPr>
            <w:r>
              <w:rPr>
                <w:b/>
                <w:bCs/>
                <w:color w:val="1D9E75"/>
                <w:sz w:val="18"/>
                <w:szCs w:val="18"/>
              </w:rPr>
              <w:t xml:space="preserve">✔ </w:t>
            </w:r>
            <w:r>
              <w:rPr>
                <w:color w:val="1F2328"/>
                <w:sz w:val="18"/>
                <w:szCs w:val="18"/>
              </w:rPr>
              <w:t>None — every tool reported is genuinely on the disk</w:t>
            </w:r>
          </w:p>
        </w:tc>
      </w:tr>
      <w:tr w14:paraId="36F9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7A312498">
            <w:pPr>
              <w:spacing w:after="0" w:line="258" w:lineRule="auto"/>
            </w:pPr>
            <w:r>
              <w:rPr>
                <w:b w:val="0"/>
                <w:bCs w:val="0"/>
                <w:color w:val="1F2328"/>
                <w:sz w:val="18"/>
                <w:szCs w:val="18"/>
              </w:rPr>
              <w:t>Naming imprecision</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3E752CC5">
            <w:pPr>
              <w:spacing w:after="0" w:line="256" w:lineRule="auto"/>
            </w:pPr>
            <w:r>
              <w:rPr>
                <w:b/>
                <w:bCs/>
                <w:color w:val="B9770E"/>
                <w:sz w:val="18"/>
                <w:szCs w:val="18"/>
              </w:rPr>
              <w:t xml:space="preserve">△ </w:t>
            </w:r>
            <w:r>
              <w:rPr>
                <w:color w:val="1F2328"/>
                <w:sz w:val="18"/>
                <w:szCs w:val="18"/>
              </w:rPr>
              <w:t>lalsetup250.exe guessed as “LANspy”; it is actually Look&amp;LAN (a NIST-listed installed program). Correctly hedged as LIKELY — flagged, not asserted</w:t>
            </w:r>
          </w:p>
        </w:tc>
      </w:tr>
      <w:tr w14:paraId="0EE7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499C4642">
            <w:pPr>
              <w:spacing w:after="0" w:line="258" w:lineRule="auto"/>
            </w:pPr>
            <w:r>
              <w:rPr>
                <w:b w:val="0"/>
                <w:bCs w:val="0"/>
                <w:color w:val="1F2328"/>
                <w:sz w:val="18"/>
                <w:szCs w:val="18"/>
              </w:rPr>
              <w:t>Missed artifacts (recall)</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4C9F8AFA">
            <w:pPr>
              <w:spacing w:after="0" w:line="256" w:lineRule="auto"/>
            </w:pPr>
            <w:r>
              <w:rPr>
                <w:b/>
                <w:bCs/>
                <w:color w:val="B9770E"/>
                <w:sz w:val="18"/>
                <w:szCs w:val="18"/>
              </w:rPr>
              <w:t xml:space="preserve">△ </w:t>
            </w:r>
            <w:r>
              <w:rPr>
                <w:color w:val="1F2328"/>
                <w:sz w:val="18"/>
                <w:szCs w:val="18"/>
              </w:rPr>
              <w:t>Did not surface three canonical installed programs — 123 Write All Stored Passwords, Anonymizer, CuteFTP — the collector targets offensive-tool names</w:t>
            </w:r>
          </w:p>
        </w:tc>
      </w:tr>
      <w:tr w14:paraId="492EE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6F1FB"/>
            <w:tcMar>
              <w:top w:w="62" w:type="dxa"/>
              <w:left w:w="115" w:type="dxa"/>
              <w:bottom w:w="62" w:type="dxa"/>
              <w:right w:w="115" w:type="dxa"/>
            </w:tcMar>
            <w:vAlign w:val="center"/>
          </w:tcPr>
          <w:p w14:paraId="374AE755">
            <w:pPr>
              <w:spacing w:after="0" w:line="258" w:lineRule="auto"/>
            </w:pPr>
            <w:r>
              <w:rPr>
                <w:b w:val="0"/>
                <w:bCs w:val="0"/>
                <w:color w:val="1F2328"/>
                <w:sz w:val="18"/>
                <w:szCs w:val="18"/>
              </w:rPr>
              <w:t>Out of triage scope</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75FEF16B">
            <w:pPr>
              <w:spacing w:after="0" w:line="256" w:lineRule="auto"/>
            </w:pPr>
            <w:r>
              <w:rPr>
                <w:b/>
                <w:bCs/>
                <w:color w:val="B9770E"/>
                <w:sz w:val="18"/>
                <w:szCs w:val="18"/>
              </w:rPr>
              <w:t xml:space="preserve">△ </w:t>
            </w:r>
            <w:r>
              <w:rPr>
                <w:color w:val="1F2328"/>
                <w:sz w:val="18"/>
                <w:szCs w:val="18"/>
              </w:rPr>
              <w:t>Did not answer NIST attribution sub-questions (suspect email, IRC nickname, MAC address, SSID) — need registry/timeline parsing</w:t>
            </w:r>
          </w:p>
        </w:tc>
      </w:tr>
    </w:tbl>
    <w:p w14:paraId="0041A023">
      <w:pPr>
        <w:spacing w:after="70"/>
      </w:pPr>
    </w:p>
    <w:p w14:paraId="33FE9AC3">
      <w:pPr>
        <w:pStyle w:val="3"/>
        <w:spacing w:before="220" w:after="90"/>
      </w:pPr>
      <w:r>
        <w:rPr>
          <w:b/>
          <w:bCs/>
          <w:color w:val="0B5394"/>
          <w:sz w:val="22"/>
          <w:szCs w:val="22"/>
        </w:rPr>
        <w:t>Case 2 — M57-Jean (exfiltration)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50"/>
        <w:gridCol w:w="6310"/>
      </w:tblGrid>
      <w:tr w14:paraId="12D3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50" w:type="dxa"/>
            <w:tcBorders>
              <w:top w:val="single" w:color="D0D7DE" w:sz="4" w:space="0"/>
              <w:left w:val="single" w:color="D0D7DE" w:sz="4" w:space="0"/>
              <w:bottom w:val="single" w:color="D0D7DE" w:sz="4" w:space="0"/>
              <w:right w:val="single" w:color="D0D7DE" w:sz="4" w:space="0"/>
            </w:tcBorders>
            <w:shd w:val="clear" w:color="auto" w:fill="0B3D62"/>
            <w:tcMar>
              <w:top w:w="62" w:type="dxa"/>
              <w:left w:w="115" w:type="dxa"/>
              <w:bottom w:w="62" w:type="dxa"/>
              <w:right w:w="115" w:type="dxa"/>
            </w:tcMar>
            <w:vAlign w:val="center"/>
          </w:tcPr>
          <w:p w14:paraId="0405496D">
            <w:pPr>
              <w:spacing w:after="0" w:line="258" w:lineRule="auto"/>
            </w:pPr>
            <w:r>
              <w:rPr>
                <w:b/>
                <w:bCs/>
                <w:color w:val="FFFFFF"/>
                <w:sz w:val="18"/>
                <w:szCs w:val="18"/>
              </w:rPr>
              <w:t>Dimension</w:t>
            </w:r>
          </w:p>
        </w:tc>
        <w:tc>
          <w:tcPr>
            <w:tcW w:w="6310" w:type="dxa"/>
            <w:tcBorders>
              <w:top w:val="single" w:color="D0D7DE" w:sz="4" w:space="0"/>
              <w:left w:val="single" w:color="D0D7DE" w:sz="4" w:space="0"/>
              <w:bottom w:val="single" w:color="D0D7DE" w:sz="4" w:space="0"/>
              <w:right w:val="single" w:color="D0D7DE" w:sz="4" w:space="0"/>
            </w:tcBorders>
            <w:shd w:val="clear" w:color="auto" w:fill="0B3D62"/>
            <w:tcMar>
              <w:top w:w="62" w:type="dxa"/>
              <w:left w:w="115" w:type="dxa"/>
              <w:bottom w:w="62" w:type="dxa"/>
              <w:right w:w="115" w:type="dxa"/>
            </w:tcMar>
            <w:vAlign w:val="center"/>
          </w:tcPr>
          <w:p w14:paraId="67CEC1FA">
            <w:pPr>
              <w:spacing w:after="0" w:line="258" w:lineRule="auto"/>
            </w:pPr>
            <w:r>
              <w:rPr>
                <w:b/>
                <w:bCs/>
                <w:color w:val="FFFFFF"/>
                <w:sz w:val="18"/>
                <w:szCs w:val="18"/>
              </w:rPr>
              <w:t>Result</w:t>
            </w:r>
          </w:p>
        </w:tc>
      </w:tr>
      <w:tr w14:paraId="204C1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772E3537">
            <w:pPr>
              <w:spacing w:after="0" w:line="258" w:lineRule="auto"/>
            </w:pPr>
            <w:r>
              <w:rPr>
                <w:b w:val="0"/>
                <w:bCs w:val="0"/>
                <w:color w:val="1F2328"/>
                <w:sz w:val="18"/>
                <w:szCs w:val="18"/>
              </w:rPr>
              <w:t>Case classification</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44392F37">
            <w:pPr>
              <w:spacing w:after="0" w:line="256" w:lineRule="auto"/>
            </w:pPr>
            <w:r>
              <w:rPr>
                <w:b/>
                <w:bCs/>
                <w:color w:val="1D9E75"/>
                <w:sz w:val="18"/>
                <w:szCs w:val="18"/>
              </w:rPr>
              <w:t xml:space="preserve">✔ </w:t>
            </w:r>
            <w:r>
              <w:rPr>
                <w:color w:val="1F2328"/>
                <w:sz w:val="18"/>
                <w:szCs w:val="18"/>
              </w:rPr>
              <w:t>Correct — social engineering / spear-phishing → data exfiltration (not intrusion/malware)</w:t>
            </w:r>
          </w:p>
        </w:tc>
      </w:tr>
      <w:tr w14:paraId="2843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20763972">
            <w:pPr>
              <w:spacing w:after="0" w:line="258" w:lineRule="auto"/>
            </w:pPr>
            <w:r>
              <w:rPr>
                <w:b w:val="0"/>
                <w:bCs w:val="0"/>
                <w:color w:val="1F2328"/>
                <w:sz w:val="18"/>
                <w:szCs w:val="18"/>
              </w:rPr>
              <w:t>Exfiltrated data</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7B8D0A6B">
            <w:pPr>
              <w:spacing w:after="0" w:line="256" w:lineRule="auto"/>
            </w:pPr>
            <w:r>
              <w:rPr>
                <w:b/>
                <w:bCs/>
                <w:color w:val="1D9E75"/>
                <w:sz w:val="18"/>
                <w:szCs w:val="18"/>
              </w:rPr>
              <w:t xml:space="preserve">✔ </w:t>
            </w:r>
            <w:r>
              <w:rPr>
                <w:color w:val="1F2328"/>
                <w:sz w:val="18"/>
                <w:szCs w:val="18"/>
              </w:rPr>
              <w:t>Correct — m57biz.xls (employee names, salaries, SSNs)</w:t>
            </w:r>
          </w:p>
        </w:tc>
      </w:tr>
      <w:tr w14:paraId="0C17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2D9F2C49">
            <w:pPr>
              <w:spacing w:after="0" w:line="258" w:lineRule="auto"/>
            </w:pPr>
            <w:r>
              <w:rPr>
                <w:b w:val="0"/>
                <w:bCs w:val="0"/>
                <w:color w:val="1F2328"/>
                <w:sz w:val="18"/>
                <w:szCs w:val="18"/>
              </w:rPr>
              <w:t>Channel &amp; recipient</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30C6AF4A">
            <w:pPr>
              <w:spacing w:after="0" w:line="256" w:lineRule="auto"/>
            </w:pPr>
            <w:r>
              <w:rPr>
                <w:b/>
                <w:bCs/>
                <w:color w:val="1D9E75"/>
                <w:sz w:val="18"/>
                <w:szCs w:val="18"/>
              </w:rPr>
              <w:t xml:space="preserve">✔ </w:t>
            </w:r>
            <w:r>
              <w:rPr>
                <w:color w:val="1F2328"/>
                <w:sz w:val="18"/>
                <w:szCs w:val="18"/>
              </w:rPr>
              <w:t>Correct — emailed to external address tuckgorge@gmail.com</w:t>
            </w:r>
          </w:p>
        </w:tc>
      </w:tr>
      <w:tr w14:paraId="078F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584590F9">
            <w:pPr>
              <w:spacing w:after="0" w:line="258" w:lineRule="auto"/>
            </w:pPr>
            <w:r>
              <w:rPr>
                <w:b w:val="0"/>
                <w:bCs w:val="0"/>
                <w:color w:val="1F2328"/>
                <w:sz w:val="18"/>
                <w:szCs w:val="18"/>
              </w:rPr>
              <w:t>Spoof / pretext</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017A570D">
            <w:pPr>
              <w:spacing w:after="0" w:line="256" w:lineRule="auto"/>
            </w:pPr>
            <w:r>
              <w:rPr>
                <w:b/>
                <w:bCs/>
                <w:color w:val="1D9E75"/>
                <w:sz w:val="18"/>
                <w:szCs w:val="18"/>
              </w:rPr>
              <w:t xml:space="preserve">✔ </w:t>
            </w:r>
            <w:r>
              <w:rPr>
                <w:color w:val="1F2328"/>
                <w:sz w:val="18"/>
                <w:szCs w:val="18"/>
              </w:rPr>
              <w:t>Correct — sender spoofed as alison@m57.biz; real address (mailto/Return-Path) is the Gmail account — the decisive artifact, correctly identified</w:t>
            </w:r>
          </w:p>
        </w:tc>
      </w:tr>
      <w:tr w14:paraId="52F8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2F08B0EE">
            <w:pPr>
              <w:spacing w:after="0" w:line="258" w:lineRule="auto"/>
            </w:pPr>
            <w:r>
              <w:rPr>
                <w:b w:val="0"/>
                <w:bCs w:val="0"/>
                <w:color w:val="1F2328"/>
                <w:sz w:val="18"/>
                <w:szCs w:val="18"/>
              </w:rPr>
              <w:t>Victim vs perpetrator</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5B84B971">
            <w:pPr>
              <w:spacing w:after="0" w:line="256" w:lineRule="auto"/>
            </w:pPr>
            <w:r>
              <w:rPr>
                <w:b/>
                <w:bCs/>
                <w:color w:val="1D9E75"/>
                <w:sz w:val="18"/>
                <w:szCs w:val="18"/>
              </w:rPr>
              <w:t xml:space="preserve">✔ </w:t>
            </w:r>
            <w:r>
              <w:rPr>
                <w:color w:val="1F2328"/>
                <w:sz w:val="18"/>
                <w:szCs w:val="18"/>
              </w:rPr>
              <w:t>Correct — Jean is the victim; Alison's identity was spoofed and she did not request the data</w:t>
            </w:r>
          </w:p>
        </w:tc>
      </w:tr>
      <w:tr w14:paraId="7F74B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76F8045B">
            <w:pPr>
              <w:spacing w:after="0" w:line="258" w:lineRule="auto"/>
            </w:pPr>
            <w:r>
              <w:rPr>
                <w:b w:val="0"/>
                <w:bCs w:val="0"/>
                <w:color w:val="1F2328"/>
                <w:sz w:val="18"/>
                <w:szCs w:val="18"/>
              </w:rPr>
              <w:t>Event date</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6E93C3A2">
            <w:pPr>
              <w:spacing w:after="0" w:line="256" w:lineRule="auto"/>
            </w:pPr>
            <w:r>
              <w:rPr>
                <w:b/>
                <w:bCs/>
                <w:color w:val="1D9E75"/>
                <w:sz w:val="18"/>
                <w:szCs w:val="18"/>
              </w:rPr>
              <w:t xml:space="preserve">✔ </w:t>
            </w:r>
            <w:r>
              <w:rPr>
                <w:color w:val="1F2328"/>
                <w:sz w:val="18"/>
                <w:szCs w:val="18"/>
              </w:rPr>
              <w:t>Correct — 2008-07-20</w:t>
            </w:r>
          </w:p>
        </w:tc>
      </w:tr>
      <w:tr w14:paraId="5892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76B64EAF">
            <w:pPr>
              <w:spacing w:after="0" w:line="258" w:lineRule="auto"/>
            </w:pPr>
            <w:r>
              <w:rPr>
                <w:b w:val="0"/>
                <w:bCs w:val="0"/>
                <w:color w:val="1F2328"/>
                <w:sz w:val="18"/>
                <w:szCs w:val="18"/>
              </w:rPr>
              <w:t>Fabricated / false-positive artifacts</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3BFCF440">
            <w:pPr>
              <w:spacing w:after="0" w:line="256" w:lineRule="auto"/>
            </w:pPr>
            <w:r>
              <w:rPr>
                <w:b/>
                <w:bCs/>
                <w:color w:val="1D9E75"/>
                <w:sz w:val="18"/>
                <w:szCs w:val="18"/>
              </w:rPr>
              <w:t xml:space="preserve">✔ </w:t>
            </w:r>
            <w:r>
              <w:rPr>
                <w:color w:val="1F2328"/>
                <w:sz w:val="18"/>
                <w:szCs w:val="18"/>
              </w:rPr>
              <w:t>None</w:t>
            </w:r>
          </w:p>
        </w:tc>
      </w:tr>
      <w:tr w14:paraId="6213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7DFDEC66">
            <w:pPr>
              <w:spacing w:after="0" w:line="258" w:lineRule="auto"/>
            </w:pPr>
            <w:r>
              <w:rPr>
                <w:b w:val="0"/>
                <w:bCs w:val="0"/>
                <w:color w:val="1F2328"/>
                <w:sz w:val="18"/>
                <w:szCs w:val="18"/>
              </w:rPr>
              <w:t>Framing imprecision</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4E4DBE0B">
            <w:pPr>
              <w:spacing w:after="0" w:line="256" w:lineRule="auto"/>
            </w:pPr>
            <w:r>
              <w:rPr>
                <w:b/>
                <w:bCs/>
                <w:color w:val="B9770E"/>
                <w:sz w:val="18"/>
                <w:szCs w:val="18"/>
              </w:rPr>
              <w:t xml:space="preserve">△ </w:t>
            </w:r>
            <w:r>
              <w:rPr>
                <w:color w:val="1F2328"/>
                <w:sz w:val="18"/>
                <w:szCs w:val="18"/>
              </w:rPr>
              <w:t>Firefox/IE cache framed as a “potential secondary exfiltration channel” — most likely routine browsing; correctly hedged LIKELY with “cache not inspected”</w:t>
            </w:r>
          </w:p>
        </w:tc>
      </w:tr>
      <w:tr w14:paraId="2CEB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50" w:type="dxa"/>
            <w:tcBorders>
              <w:top w:val="single" w:color="D0D7DE" w:sz="4" w:space="0"/>
              <w:left w:val="single" w:color="D0D7DE" w:sz="4" w:space="0"/>
              <w:bottom w:val="single" w:color="D0D7DE" w:sz="4" w:space="0"/>
              <w:right w:val="single" w:color="D0D7DE" w:sz="4" w:space="0"/>
            </w:tcBorders>
            <w:shd w:val="clear" w:color="auto" w:fill="E1F5EE"/>
            <w:tcMar>
              <w:top w:w="62" w:type="dxa"/>
              <w:left w:w="115" w:type="dxa"/>
              <w:bottom w:w="62" w:type="dxa"/>
              <w:right w:w="115" w:type="dxa"/>
            </w:tcMar>
            <w:vAlign w:val="center"/>
          </w:tcPr>
          <w:p w14:paraId="3B335FAD">
            <w:pPr>
              <w:spacing w:after="0" w:line="258" w:lineRule="auto"/>
            </w:pPr>
            <w:r>
              <w:rPr>
                <w:b w:val="0"/>
                <w:bCs w:val="0"/>
                <w:color w:val="1F2328"/>
                <w:sz w:val="18"/>
                <w:szCs w:val="18"/>
              </w:rPr>
              <w:t>Time-of-day note</w:t>
            </w:r>
          </w:p>
        </w:tc>
        <w:tc>
          <w:tcPr>
            <w:tcW w:w="6310" w:type="dxa"/>
            <w:tcBorders>
              <w:top w:val="single" w:color="D0D7DE" w:sz="4" w:space="0"/>
              <w:left w:val="single" w:color="D0D7DE" w:sz="4" w:space="0"/>
              <w:bottom w:val="single" w:color="D0D7DE" w:sz="4" w:space="0"/>
              <w:right w:val="single" w:color="D0D7DE" w:sz="4" w:space="0"/>
            </w:tcBorders>
            <w:tcMar>
              <w:top w:w="62" w:type="dxa"/>
              <w:left w:w="115" w:type="dxa"/>
              <w:bottom w:w="62" w:type="dxa"/>
              <w:right w:w="115" w:type="dxa"/>
            </w:tcMar>
            <w:vAlign w:val="center"/>
          </w:tcPr>
          <w:p w14:paraId="4D9519BA">
            <w:pPr>
              <w:spacing w:after="0" w:line="256" w:lineRule="auto"/>
            </w:pPr>
            <w:r>
              <w:rPr>
                <w:b/>
                <w:bCs/>
                <w:color w:val="B9770E"/>
                <w:sz w:val="18"/>
                <w:szCs w:val="18"/>
              </w:rPr>
              <w:t xml:space="preserve">△ </w:t>
            </w:r>
            <w:r>
              <w:rPr>
                <w:color w:val="1F2328"/>
                <w:sz w:val="18"/>
                <w:szCs w:val="18"/>
              </w:rPr>
              <w:t>01:28:47 UTC differs from writeups citing ~08:28 / ~05:03 — a timezone/header representation difference, not a wrong fact; date is correct</w:t>
            </w:r>
          </w:p>
        </w:tc>
      </w:tr>
    </w:tbl>
    <w:p w14:paraId="58332731">
      <w:pPr>
        <w:spacing w:after="70"/>
      </w:pPr>
    </w:p>
    <w:p w14:paraId="4B7B066E">
      <w:pPr>
        <w:spacing w:after="130" w:line="288" w:lineRule="auto"/>
      </w:pPr>
      <w:r>
        <w:rPr>
          <w:i/>
          <w:iCs/>
          <w:color w:val="5F5E5A"/>
          <w:sz w:val="21"/>
          <w:szCs w:val="21"/>
        </w:rPr>
        <w:t>Bottom line: on both cases the agent reached the correct top-line conclusion and the correct key evidence, with no fabricated or hallucinated artifacts in the final runs. The two imperfections are a naming slip and a framing slip — both carried at LIKELY, never asserted as CONFIRMED. Recall is bounded by what the deterministic collector surfaces.</w:t>
      </w:r>
    </w:p>
    <w:p w14:paraId="6EFA2D98">
      <w:pPr>
        <w:spacing w:before="340" w:after="20"/>
      </w:pPr>
      <w:r>
        <w:rPr>
          <w:b/>
          <w:bCs/>
          <w:color w:val="1D9E75"/>
          <w:spacing w:val="30"/>
          <w:sz w:val="18"/>
          <w:szCs w:val="18"/>
        </w:rPr>
        <w:t>DEVELOPMENT HISTORY</w:t>
      </w:r>
    </w:p>
    <w:p w14:paraId="1420FADC">
      <w:pPr>
        <w:pStyle w:val="2"/>
        <w:pBdr>
          <w:bottom w:val="single" w:color="1D9E75" w:sz="18" w:space="6"/>
        </w:pBdr>
        <w:spacing w:before="0" w:after="150"/>
      </w:pPr>
      <w:r>
        <w:rPr>
          <w:b/>
          <w:bCs/>
          <w:color w:val="0B3D62"/>
          <w:sz w:val="28"/>
          <w:szCs w:val="28"/>
        </w:rPr>
        <w:t>Hallucinations and Defects We Caught and Fixed</w:t>
      </w:r>
    </w:p>
    <w:p w14:paraId="7C2FDEA5">
      <w:pPr>
        <w:spacing w:after="130" w:line="288" w:lineRule="auto"/>
      </w:pPr>
      <w:r>
        <w:rPr>
          <w:color w:val="1F2328"/>
          <w:sz w:val="21"/>
          <w:szCs w:val="21"/>
        </w:rPr>
        <w:t>Real defects we hit while building the agent. Each is now mitigated; they show where an autonomous DFIR agent is most likely to go wrong.</w:t>
      </w:r>
    </w:p>
    <w:p w14:paraId="57CF4813">
      <w:pPr>
        <w:pStyle w:val="16"/>
        <w:numPr>
          <w:ilvl w:val="0"/>
          <w:numId w:val="2"/>
        </w:numPr>
        <w:spacing w:after="90" w:line="282" w:lineRule="auto"/>
      </w:pPr>
      <w:r>
        <w:rPr>
          <w:b/>
          <w:bCs/>
          <w:color w:val="1F2328"/>
          <w:sz w:val="20"/>
          <w:szCs w:val="20"/>
        </w:rPr>
        <w:t xml:space="preserve">Cross-run memory contamination (most serious). </w:t>
      </w:r>
      <w:r>
        <w:rPr>
          <w:color w:val="1F2328"/>
          <w:sz w:val="20"/>
          <w:szCs w:val="20"/>
        </w:rPr>
        <w:t>An early Mr. Evil report cited an IP address (172.16.0.2) that belonged to a previous case — the model's persistent memory had leaked. A genuine prompt-level grounding failure. Fix: cleared project memory and added an explicit grounding rule. No recurrence.</w:t>
      </w:r>
    </w:p>
    <w:p w14:paraId="61A9CDE4">
      <w:pPr>
        <w:pStyle w:val="16"/>
        <w:numPr>
          <w:ilvl w:val="0"/>
          <w:numId w:val="2"/>
        </w:numPr>
        <w:spacing w:after="90" w:line="282" w:lineRule="auto"/>
      </w:pPr>
      <w:r>
        <w:rPr>
          <w:b/>
          <w:bCs/>
          <w:color w:val="1F2328"/>
          <w:sz w:val="20"/>
          <w:szCs w:val="20"/>
        </w:rPr>
        <w:t xml:space="preserve">Substring false positive (“McCain” → “Cain &amp; Abel”). </w:t>
      </w:r>
      <w:r>
        <w:rPr>
          <w:color w:val="1F2328"/>
          <w:sz w:val="20"/>
          <w:szCs w:val="20"/>
        </w:rPr>
        <w:t>A cached page mentioning McCain once caused the agent to “find” Cain &amp; Abel. Fix: whole-word matching in the indicator sweep eliminated this class of false positive.</w:t>
      </w:r>
    </w:p>
    <w:p w14:paraId="0DF361CF">
      <w:pPr>
        <w:pStyle w:val="16"/>
        <w:numPr>
          <w:ilvl w:val="0"/>
          <w:numId w:val="2"/>
        </w:numPr>
        <w:spacing w:after="90" w:line="282" w:lineRule="auto"/>
      </w:pPr>
      <w:r>
        <w:rPr>
          <w:b/>
          <w:bCs/>
          <w:color w:val="1F2328"/>
          <w:sz w:val="20"/>
          <w:szCs w:val="20"/>
        </w:rPr>
        <w:t xml:space="preserve">Silent collector failure → missed artifacts. </w:t>
      </w:r>
      <w:r>
        <w:rPr>
          <w:color w:val="1F2328"/>
          <w:sz w:val="20"/>
          <w:szCs w:val="20"/>
        </w:rPr>
        <w:t>M57-Jean initially produced an empty mailbox because readpst silently refuses to write to a non-existent directory. Fix: create the output directory before extraction. Missed artifacts are often a collector bug, not a reasoning bug.</w:t>
      </w:r>
    </w:p>
    <w:p w14:paraId="5C362F27">
      <w:pPr>
        <w:pStyle w:val="16"/>
        <w:numPr>
          <w:ilvl w:val="0"/>
          <w:numId w:val="2"/>
        </w:numPr>
        <w:spacing w:after="90" w:line="282" w:lineRule="auto"/>
      </w:pPr>
      <w:r>
        <w:rPr>
          <w:b/>
          <w:bCs/>
          <w:color w:val="1F2328"/>
          <w:sz w:val="20"/>
          <w:szCs w:val="20"/>
        </w:rPr>
        <w:t xml:space="preserve">PRESENT-vs-EXECUTED overclaiming. </w:t>
      </w:r>
      <w:r>
        <w:rPr>
          <w:color w:val="1F2328"/>
          <w:sz w:val="20"/>
          <w:szCs w:val="20"/>
        </w:rPr>
        <w:t>Early reports narrated mere presence of a tool as use. Fix: an explicit rule separating “present on disk” from “proven to have run.” This is why, on the validated Mr. Evil run, only Cain &amp; Abel is CONFIRMED EXECUTED.</w:t>
      </w:r>
    </w:p>
    <w:p w14:paraId="79B60470">
      <w:pPr>
        <w:pStyle w:val="16"/>
        <w:numPr>
          <w:ilvl w:val="0"/>
          <w:numId w:val="2"/>
        </w:numPr>
        <w:spacing w:after="90" w:line="282" w:lineRule="auto"/>
      </w:pPr>
      <w:r>
        <w:rPr>
          <w:b/>
          <w:bCs/>
          <w:color w:val="1F2328"/>
          <w:sz w:val="20"/>
          <w:szCs w:val="20"/>
        </w:rPr>
        <w:t xml:space="preserve">Findings-count display undercount (cosmetic). </w:t>
      </w:r>
      <w:r>
        <w:rPr>
          <w:color w:val="1F2328"/>
          <w:sz w:val="20"/>
          <w:szCs w:val="20"/>
        </w:rPr>
        <w:t>The dashboard's severity counter sometimes under-counted due to varying numbering. Fix: a tolerant parser. UI metric only — never the findings.</w:t>
      </w:r>
    </w:p>
    <w:p w14:paraId="25E6C965">
      <w:pPr>
        <w:spacing w:before="340" w:after="20"/>
      </w:pPr>
      <w:r>
        <w:rPr>
          <w:b/>
          <w:bCs/>
          <w:color w:val="1D9E75"/>
          <w:spacing w:val="30"/>
          <w:sz w:val="18"/>
          <w:szCs w:val="18"/>
        </w:rPr>
        <w:t>SIGNAL</w:t>
      </w:r>
    </w:p>
    <w:p w14:paraId="394513FC">
      <w:pPr>
        <w:pStyle w:val="2"/>
        <w:pBdr>
          <w:bottom w:val="single" w:color="1D9E75" w:sz="18" w:space="6"/>
        </w:pBdr>
        <w:spacing w:before="0" w:after="150"/>
      </w:pPr>
      <w:r>
        <w:rPr>
          <w:b/>
          <w:bCs/>
          <w:color w:val="0B3D62"/>
          <w:sz w:val="28"/>
          <w:szCs w:val="28"/>
        </w:rPr>
        <w:t>Residual Imprecisions in the Validated Runs</w:t>
      </w:r>
    </w:p>
    <w:p w14:paraId="013F3669">
      <w:pPr>
        <w:spacing w:after="130" w:line="288" w:lineRule="auto"/>
      </w:pPr>
      <w:r>
        <w:rPr>
          <w:color w:val="1F2328"/>
          <w:sz w:val="21"/>
          <w:szCs w:val="21"/>
        </w:rPr>
        <w:t>Distinct from the development bugs above, these imperfections remain in the final, validated outputs. We surface them as signal:</w:t>
      </w:r>
    </w:p>
    <w:p w14:paraId="0D73F3B4">
      <w:pPr>
        <w:pStyle w:val="16"/>
        <w:numPr>
          <w:ilvl w:val="0"/>
          <w:numId w:val="1"/>
        </w:numPr>
        <w:spacing w:after="50" w:line="278" w:lineRule="auto"/>
      </w:pPr>
      <w:r>
        <w:rPr>
          <w:b/>
          <w:bCs/>
          <w:color w:val="1F2328"/>
          <w:sz w:val="20"/>
          <w:szCs w:val="20"/>
        </w:rPr>
        <w:t xml:space="preserve">Product-name guessing. </w:t>
      </w:r>
      <w:r>
        <w:rPr>
          <w:color w:val="1F2328"/>
          <w:sz w:val="20"/>
          <w:szCs w:val="20"/>
        </w:rPr>
        <w:t>When a filename is ambiguous (e.g. lalsetup250.exe), the agent may infer the wrong product name (it guessed “LANspy”; it is Look&amp;LAN). The sweep finds the file; product identification is an inference and should be treated as LIKELY until the binary is inspected.</w:t>
      </w:r>
    </w:p>
    <w:p w14:paraId="3B0E4DEC">
      <w:pPr>
        <w:pStyle w:val="16"/>
        <w:numPr>
          <w:ilvl w:val="0"/>
          <w:numId w:val="1"/>
        </w:numPr>
        <w:spacing w:after="50" w:line="278" w:lineRule="auto"/>
      </w:pPr>
      <w:r>
        <w:rPr>
          <w:b/>
          <w:bCs/>
          <w:color w:val="1F2328"/>
          <w:sz w:val="20"/>
          <w:szCs w:val="20"/>
        </w:rPr>
        <w:t xml:space="preserve">Generous significance framing. </w:t>
      </w:r>
      <w:r>
        <w:rPr>
          <w:color w:val="1F2328"/>
          <w:sz w:val="20"/>
          <w:szCs w:val="20"/>
        </w:rPr>
        <w:t>Benign, ubiquitous artifacts (browser caches) can be framed as a “potential channel.” The LIKELY label and a “not inspected” caveat contain this, but it is a tendency to watch.</w:t>
      </w:r>
    </w:p>
    <w:p w14:paraId="2FBD9B5A">
      <w:pPr>
        <w:pStyle w:val="16"/>
        <w:numPr>
          <w:ilvl w:val="0"/>
          <w:numId w:val="1"/>
        </w:numPr>
        <w:spacing w:after="50" w:line="278" w:lineRule="auto"/>
      </w:pPr>
      <w:r>
        <w:rPr>
          <w:b/>
          <w:bCs/>
          <w:color w:val="1F2328"/>
          <w:sz w:val="20"/>
          <w:szCs w:val="20"/>
        </w:rPr>
        <w:t xml:space="preserve">Recommended hardening. </w:t>
      </w:r>
      <w:r>
        <w:rPr>
          <w:color w:val="1F2328"/>
          <w:sz w:val="20"/>
          <w:szCs w:val="20"/>
        </w:rPr>
        <w:t>For a fully airtight submission, spot-check a handful of the CONFIRMED (PRESENT) inodes with icat/fls to convert a keyword match into content-verified evidence — a natural use of the agent's targeted-read capability.</w:t>
      </w:r>
    </w:p>
    <w:p w14:paraId="0C68BA38">
      <w:pPr>
        <w:spacing w:before="340" w:after="20"/>
      </w:pPr>
      <w:r>
        <w:rPr>
          <w:b/>
          <w:bCs/>
          <w:color w:val="1D9E75"/>
          <w:spacing w:val="30"/>
          <w:sz w:val="18"/>
          <w:szCs w:val="18"/>
        </w:rPr>
        <w:t>CURRENT BUILD</w:t>
      </w:r>
    </w:p>
    <w:p w14:paraId="1DB18180">
      <w:pPr>
        <w:pStyle w:val="2"/>
        <w:pBdr>
          <w:bottom w:val="single" w:color="1D9E75" w:sz="18" w:space="6"/>
        </w:pBdr>
        <w:spacing w:before="0" w:after="150"/>
      </w:pPr>
      <w:r>
        <w:rPr>
          <w:b/>
          <w:bCs/>
          <w:color w:val="0B3D62"/>
          <w:sz w:val="28"/>
          <w:szCs w:val="28"/>
        </w:rPr>
        <w:t>Known Limitations and Residual Risks</w:t>
      </w:r>
    </w:p>
    <w:p w14:paraId="3216A474">
      <w:pPr>
        <w:pStyle w:val="16"/>
        <w:numPr>
          <w:ilvl w:val="0"/>
          <w:numId w:val="1"/>
        </w:numPr>
        <w:spacing w:after="50" w:line="278" w:lineRule="auto"/>
      </w:pPr>
      <w:r>
        <w:rPr>
          <w:b/>
          <w:bCs/>
          <w:color w:val="1F2328"/>
          <w:sz w:val="20"/>
          <w:szCs w:val="20"/>
        </w:rPr>
        <w:t xml:space="preserve">Recall is bounded by the collector. </w:t>
      </w:r>
      <w:r>
        <w:rPr>
          <w:color w:val="1F2328"/>
          <w:sz w:val="20"/>
          <w:szCs w:val="20"/>
        </w:rPr>
        <w:t>The agent reasons over the text evidence bundle; anything Phase 1 does not surface (a renamed tool, evidence inside an unparsed archive, registry-only artifacts, or programs outside the indicator list such as the three missed CFReDS installers) will not reach it.</w:t>
      </w:r>
    </w:p>
    <w:p w14:paraId="101F7F2B">
      <w:pPr>
        <w:pStyle w:val="16"/>
        <w:numPr>
          <w:ilvl w:val="0"/>
          <w:numId w:val="1"/>
        </w:numPr>
        <w:spacing w:after="50" w:line="278" w:lineRule="auto"/>
      </w:pPr>
      <w:r>
        <w:rPr>
          <w:color w:val="1F2328"/>
          <w:sz w:val="20"/>
          <w:szCs w:val="20"/>
        </w:rPr>
        <w:t>No deep registry / event-log / $MFT parsing and no network (pcap) track in this build — attribution-style questions are out of scope.</w:t>
      </w:r>
    </w:p>
    <w:p w14:paraId="531F5CDA">
      <w:pPr>
        <w:pStyle w:val="16"/>
        <w:numPr>
          <w:ilvl w:val="0"/>
          <w:numId w:val="1"/>
        </w:numPr>
        <w:spacing w:after="50" w:line="278" w:lineRule="auto"/>
      </w:pPr>
      <w:r>
        <w:rPr>
          <w:color w:val="1F2328"/>
          <w:sz w:val="20"/>
          <w:szCs w:val="20"/>
        </w:rPr>
        <w:t>Targeted retrieval is light — the agent can read a specific inode to confirm a finding, but does not perform exhaustive deep-dive analysis. By design, this is triage.</w:t>
      </w:r>
    </w:p>
    <w:p w14:paraId="42FE1329">
      <w:pPr>
        <w:pStyle w:val="16"/>
        <w:numPr>
          <w:ilvl w:val="0"/>
          <w:numId w:val="1"/>
        </w:numPr>
        <w:spacing w:after="50" w:line="278" w:lineRule="auto"/>
      </w:pPr>
      <w:r>
        <w:rPr>
          <w:color w:val="1F2328"/>
          <w:sz w:val="20"/>
          <w:szCs w:val="20"/>
        </w:rPr>
        <w:t>LLM non-determinism — wording, finding order, and occasionally a confidence label vary between runs. Decisive conclusions have been stable; expect cosmetic variation, not bit-identical reports.</w:t>
      </w:r>
    </w:p>
    <w:p w14:paraId="7869A238">
      <w:pPr>
        <w:pStyle w:val="16"/>
        <w:numPr>
          <w:ilvl w:val="0"/>
          <w:numId w:val="1"/>
        </w:numPr>
        <w:spacing w:after="50" w:line="278" w:lineRule="auto"/>
      </w:pPr>
      <w:r>
        <w:rPr>
          <w:color w:val="1F2328"/>
          <w:sz w:val="20"/>
          <w:szCs w:val="20"/>
        </w:rPr>
        <w:t>Keyword indicators can over-match in principle; whole-word matching plus the present-vs-executed discipline mitigate this, and confidence labels flag any not-yet-confirmed lead.</w:t>
      </w:r>
    </w:p>
    <w:p w14:paraId="21F8D3C9">
      <w:pPr>
        <w:spacing w:before="340" w:after="20"/>
      </w:pPr>
      <w:r>
        <w:rPr>
          <w:b/>
          <w:bCs/>
          <w:color w:val="1D9E75"/>
          <w:spacing w:val="30"/>
          <w:sz w:val="18"/>
          <w:szCs w:val="18"/>
        </w:rPr>
        <w:t>INTEGRITY</w:t>
      </w:r>
    </w:p>
    <w:p w14:paraId="39D3B47B">
      <w:pPr>
        <w:pStyle w:val="2"/>
        <w:pBdr>
          <w:bottom w:val="single" w:color="1D9E75" w:sz="18" w:space="6"/>
        </w:pBdr>
        <w:spacing w:before="0" w:after="150"/>
      </w:pPr>
      <w:r>
        <w:rPr>
          <w:b/>
          <w:bCs/>
          <w:color w:val="0B3D62"/>
          <w:sz w:val="28"/>
          <w:szCs w:val="28"/>
        </w:rPr>
        <w:t>Evidence Integrity Approach</w:t>
      </w:r>
    </w:p>
    <w:p w14:paraId="189C0E73">
      <w:pPr>
        <w:spacing w:after="130" w:line="288" w:lineRule="auto"/>
      </w:pPr>
      <w:r>
        <w:rPr>
          <w:b/>
          <w:bCs/>
          <w:color w:val="1F2328"/>
          <w:sz w:val="21"/>
          <w:szCs w:val="21"/>
        </w:rPr>
        <w:t>The most important section for a forensic tool: the agent cannot modify the original evidence, and that guarantee is architectural, not a promise made to the model.</w:t>
      </w:r>
    </w:p>
    <w:p w14:paraId="7A82F9FD">
      <w:pPr>
        <w:pStyle w:val="3"/>
        <w:spacing w:before="220" w:after="90"/>
      </w:pPr>
      <w:r>
        <w:rPr>
          <w:b/>
          <w:bCs/>
          <w:color w:val="0B5394"/>
          <w:sz w:val="22"/>
          <w:szCs w:val="22"/>
        </w:rPr>
        <w:t>Enforced architecturally (the model cannot bypass)</w:t>
      </w:r>
    </w:p>
    <w:p w14:paraId="03F49C14">
      <w:pPr>
        <w:pStyle w:val="16"/>
        <w:numPr>
          <w:ilvl w:val="0"/>
          <w:numId w:val="1"/>
        </w:numPr>
        <w:spacing w:after="50" w:line="278" w:lineRule="auto"/>
      </w:pPr>
      <w:r>
        <w:rPr>
          <w:color w:val="1F2328"/>
          <w:sz w:val="20"/>
          <w:szCs w:val="20"/>
        </w:rPr>
        <w:t>Read-only images — each evidence image is chmod 444 and mounted read-only.</w:t>
      </w:r>
    </w:p>
    <w:p w14:paraId="0AC409E7">
      <w:pPr>
        <w:pStyle w:val="16"/>
        <w:numPr>
          <w:ilvl w:val="0"/>
          <w:numId w:val="1"/>
        </w:numPr>
        <w:spacing w:after="50" w:line="278" w:lineRule="auto"/>
      </w:pPr>
      <w:r>
        <w:rPr>
          <w:color w:val="1F2328"/>
          <w:sz w:val="20"/>
          <w:szCs w:val="20"/>
        </w:rPr>
        <w:t>SHA-256 baseline + verification — a hash is captured before analysis and re-checked after.</w:t>
      </w:r>
    </w:p>
    <w:p w14:paraId="28575CFB">
      <w:pPr>
        <w:pStyle w:val="16"/>
        <w:numPr>
          <w:ilvl w:val="0"/>
          <w:numId w:val="1"/>
        </w:numPr>
        <w:spacing w:after="50" w:line="278" w:lineRule="auto"/>
      </w:pPr>
      <w:r>
        <w:rPr>
          <w:color w:val="1F2328"/>
          <w:sz w:val="20"/>
          <w:szCs w:val="20"/>
        </w:rPr>
        <w:t>Command deny-list — settings.json denies all write-class commands: dd, rm, mv, cp, mount, mkfs, tee, shred, truncate, chmod, chattr.</w:t>
      </w:r>
    </w:p>
    <w:p w14:paraId="62072EF2">
      <w:pPr>
        <w:pStyle w:val="16"/>
        <w:numPr>
          <w:ilvl w:val="0"/>
          <w:numId w:val="1"/>
        </w:numPr>
        <w:spacing w:after="50" w:line="278" w:lineRule="auto"/>
      </w:pPr>
      <w:r>
        <w:rPr>
          <w:color w:val="1F2328"/>
          <w:sz w:val="20"/>
          <w:szCs w:val="20"/>
        </w:rPr>
        <w:t>Read-only tool allow-list + dontAsk — only read-only Sleuth Kit operations (mmls, fsstat, fls, icat, mactime) are permitted.</w:t>
      </w:r>
    </w:p>
    <w:p w14:paraId="223AC3D8">
      <w:pPr>
        <w:pStyle w:val="16"/>
        <w:numPr>
          <w:ilvl w:val="0"/>
          <w:numId w:val="1"/>
        </w:numPr>
        <w:spacing w:after="50" w:line="278" w:lineRule="auto"/>
      </w:pPr>
      <w:r>
        <w:rPr>
          <w:color w:val="1F2328"/>
          <w:sz w:val="20"/>
          <w:szCs w:val="20"/>
        </w:rPr>
        <w:t>Sandboxed writes — all output is confined to a scratch directory; nothing the agent writes touches the evidence.</w:t>
      </w:r>
    </w:p>
    <w:p w14:paraId="5314D380">
      <w:pPr>
        <w:spacing w:after="130" w:line="288" w:lineRule="auto"/>
      </w:pPr>
      <w:r>
        <w:rPr>
          <w:color w:val="1F2328"/>
          <w:sz w:val="21"/>
          <w:szCs w:val="21"/>
        </w:rPr>
        <w:t>These are enforced by the operating system's file permissions and the Claude Code permission engine — layers the model does not control.</w:t>
      </w:r>
    </w:p>
    <w:p w14:paraId="04ECC15C">
      <w:pPr>
        <w:pStyle w:val="3"/>
        <w:spacing w:before="220" w:after="90"/>
      </w:pPr>
      <w:r>
        <w:rPr>
          <w:b/>
          <w:bCs/>
          <w:color w:val="0B5394"/>
          <w:sz w:val="22"/>
          <w:szCs w:val="22"/>
        </w:rPr>
        <w:t>Prompt-based (the model could ignore)</w:t>
      </w:r>
    </w:p>
    <w:p w14:paraId="468C4EF8">
      <w:pPr>
        <w:spacing w:after="130" w:line="288" w:lineRule="auto"/>
      </w:pPr>
      <w:r>
        <w:rPr>
          <w:color w:val="1F2328"/>
          <w:sz w:val="21"/>
          <w:szCs w:val="21"/>
        </w:rPr>
        <w:t>CLAUDE.md also contains guidance — grounding, whole-word matching, present-vs-executed, inode citations, confidence labels. These improve report quality but are not enforcement. If the model ignores any of them, the worst possible outcome is a reasoning error in the report (a false positive, an imprecise name, or a missed artifact) — it can never modify, delete, or mount the evidence, because the architectural layer above is independent of the prompt.</w:t>
      </w:r>
    </w:p>
    <w:p w14:paraId="1C5F32DA">
      <w:pPr>
        <w:spacing w:after="130" w:line="288" w:lineRule="auto"/>
      </w:pPr>
      <w:r>
        <w:rPr>
          <w:color w:val="1F2328"/>
          <w:sz w:val="21"/>
          <w:szCs w:val="21"/>
        </w:rPr>
        <w:t>We have in fact observed prompt-level guidance fail — the memory contamination, and the naming/framing imprecisions above. In every case the failure produced a wrong or loose sentence in a report, never a change to the disk. That is exactly the containment the two-layer design provides.</w:t>
      </w:r>
    </w:p>
    <w:p w14:paraId="24D35AFA">
      <w:pPr>
        <w:pStyle w:val="3"/>
        <w:spacing w:before="220" w:after="90"/>
      </w:pPr>
      <w:r>
        <w:rPr>
          <w:b/>
          <w:bCs/>
          <w:color w:val="0B5394"/>
          <w:sz w:val="22"/>
          <w:szCs w:val="22"/>
        </w:rPr>
        <w:t>Spoliation testing</w:t>
      </w:r>
    </w:p>
    <w:p w14:paraId="7EF7A7DE">
      <w:pPr>
        <w:pStyle w:val="16"/>
        <w:numPr>
          <w:ilvl w:val="0"/>
          <w:numId w:val="1"/>
        </w:numPr>
        <w:spacing w:after="50" w:line="278" w:lineRule="auto"/>
      </w:pPr>
      <w:r>
        <w:rPr>
          <w:b/>
          <w:bCs/>
          <w:color w:val="1F2328"/>
          <w:sz w:val="20"/>
          <w:szCs w:val="20"/>
        </w:rPr>
        <w:t xml:space="preserve">Method. </w:t>
      </w:r>
      <w:r>
        <w:rPr>
          <w:color w:val="1F2328"/>
          <w:sz w:val="20"/>
          <w:szCs w:val="20"/>
        </w:rPr>
        <w:t>With an image under analysis, we attempted forbidden operations against it (dd, rm, mv, mount) and compared sha256sum of the image before and after every full run.</w:t>
      </w:r>
    </w:p>
    <w:p w14:paraId="2AEEACE9">
      <w:pPr>
        <w:pStyle w:val="16"/>
        <w:numPr>
          <w:ilvl w:val="0"/>
          <w:numId w:val="1"/>
        </w:numPr>
        <w:spacing w:after="50" w:line="278" w:lineRule="auto"/>
      </w:pPr>
      <w:r>
        <w:rPr>
          <w:b/>
          <w:bCs/>
          <w:color w:val="1F2328"/>
          <w:sz w:val="20"/>
          <w:szCs w:val="20"/>
        </w:rPr>
        <w:t xml:space="preserve">Result. </w:t>
      </w:r>
      <w:r>
        <w:rPr>
          <w:color w:val="1F2328"/>
          <w:sz w:val="20"/>
          <w:szCs w:val="20"/>
        </w:rPr>
        <w:t>Every write-class attempt was denied before execution by the permission engine / OS permissions. The image's SHA-256 was identical before and after each run on both cases — no modification, no spoliation.</w:t>
      </w:r>
    </w:p>
    <w:p w14:paraId="09513409">
      <w:pPr>
        <w:pStyle w:val="3"/>
        <w:spacing w:before="220" w:after="90"/>
      </w:pPr>
      <w:r>
        <w:rPr>
          <w:b/>
          <w:bCs/>
          <w:color w:val="0B5394"/>
          <w:sz w:val="22"/>
          <w:szCs w:val="22"/>
        </w:rPr>
        <w:t>Integrity failure modes we identified</w:t>
      </w:r>
    </w:p>
    <w:p w14:paraId="07461C0B">
      <w:pPr>
        <w:pStyle w:val="16"/>
        <w:numPr>
          <w:ilvl w:val="0"/>
          <w:numId w:val="1"/>
        </w:numPr>
        <w:spacing w:after="50" w:line="278" w:lineRule="auto"/>
      </w:pPr>
      <w:r>
        <w:rPr>
          <w:b/>
          <w:bCs/>
          <w:color w:val="1F2328"/>
          <w:sz w:val="20"/>
          <w:szCs w:val="20"/>
        </w:rPr>
        <w:t xml:space="preserve">Deployment dependency. </w:t>
      </w:r>
      <w:r>
        <w:rPr>
          <w:color w:val="1F2328"/>
          <w:sz w:val="20"/>
          <w:szCs w:val="20"/>
        </w:rPr>
        <w:t>The guarantee holds as configured — chmod 444, the deny-list, and dontAsk must all be in place. Run against a writable image or with a permissive settings.json and the protection weakens. The protection is real but configuration-dependent.</w:t>
      </w:r>
    </w:p>
    <w:p w14:paraId="2E2685F0">
      <w:pPr>
        <w:pStyle w:val="16"/>
        <w:numPr>
          <w:ilvl w:val="0"/>
          <w:numId w:val="1"/>
        </w:numPr>
        <w:spacing w:after="50" w:line="278" w:lineRule="auto"/>
      </w:pPr>
      <w:r>
        <w:rPr>
          <w:b/>
          <w:bCs/>
          <w:color w:val="1F2328"/>
          <w:sz w:val="20"/>
          <w:szCs w:val="20"/>
        </w:rPr>
        <w:t xml:space="preserve">Prompt-layer restrictions are not a safety control. </w:t>
      </w:r>
      <w:r>
        <w:rPr>
          <w:color w:val="1F2328"/>
          <w:sz w:val="20"/>
          <w:szCs w:val="20"/>
        </w:rPr>
        <w:t>Anything expressed only in CLAUDE.md is quality guidance, not a barrier; we do not rely on it for integrity.</w:t>
      </w:r>
    </w:p>
    <w:p w14:paraId="147A8D61">
      <w:pPr>
        <w:pStyle w:val="16"/>
        <w:numPr>
          <w:ilvl w:val="0"/>
          <w:numId w:val="1"/>
        </w:numPr>
        <w:spacing w:after="50" w:line="278" w:lineRule="auto"/>
      </w:pPr>
      <w:r>
        <w:rPr>
          <w:b/>
          <w:bCs/>
          <w:color w:val="1F2328"/>
          <w:sz w:val="20"/>
          <w:szCs w:val="20"/>
        </w:rPr>
        <w:t xml:space="preserve">Original vs verified copy. </w:t>
      </w:r>
      <w:r>
        <w:rPr>
          <w:color w:val="1F2328"/>
          <w:sz w:val="20"/>
          <w:szCs w:val="20"/>
        </w:rPr>
        <w:t>Our read-only + hashing approach protects the image in place; a belt-and-suspenders deployment should add a copy-then-hash step before Phase 1 and analyze the copy.</w:t>
      </w:r>
    </w:p>
    <w:p w14:paraId="1B4E4C3D">
      <w:pPr>
        <w:spacing w:before="340" w:after="20"/>
      </w:pPr>
      <w:r>
        <w:rPr>
          <w:b/>
          <w:bCs/>
          <w:color w:val="1D9E75"/>
          <w:spacing w:val="30"/>
          <w:sz w:val="18"/>
          <w:szCs w:val="18"/>
        </w:rPr>
        <w:t>CONCLUSION</w:t>
      </w:r>
    </w:p>
    <w:p w14:paraId="1DCA095E">
      <w:pPr>
        <w:pStyle w:val="2"/>
        <w:pBdr>
          <w:bottom w:val="single" w:color="1D9E75" w:sz="18" w:space="6"/>
        </w:pBdr>
        <w:spacing w:before="0" w:after="150"/>
      </w:pPr>
      <w:r>
        <w:rPr>
          <w:b/>
          <w:bCs/>
          <w:color w:val="0B3D62"/>
          <w:sz w:val="28"/>
          <w:szCs w:val="28"/>
        </w:rPr>
        <w:t>Summary</w:t>
      </w:r>
    </w:p>
    <w:p w14:paraId="34FE7C36">
      <w:pPr>
        <w:spacing w:after="130" w:line="288" w:lineRule="auto"/>
      </w:pPr>
      <w:r>
        <w:rPr>
          <w:color w:val="1F2328"/>
          <w:sz w:val="21"/>
          <w:szCs w:val="21"/>
        </w:rPr>
        <w:t>Verified against published ground truth, the agent reached the correct conclusions with the correct key evidence on both cases, with no fabricated or hallucinated artifacts. Its two residual imperfections — a product-name guess (lalsetup250 → Look&amp;LAN) and generous framing of benign browser artifacts — were both carried at LIKELY, exactly where the confidence-labeling mechanism is supposed to put them. Its main accuracy limitation is recall bounded by the collector, the right limitation for a fast triage tool. The development defects are documented above with their fixes. Most importantly, evidence integrity is guaranteed architecturally: spoliation testing confirms the image is byte-for-byte unchanged after every run, and every prompt-level failure we observed changed only a report sentence, never the evidence.</w:t>
      </w:r>
    </w:p>
    <w:p w14:paraId="0F2F5CA9">
      <w:pPr>
        <w:spacing w:after="130" w:line="288" w:lineRule="auto"/>
      </w:pPr>
      <w:r>
        <w:rPr>
          <w:i/>
          <w:iCs/>
          <w:color w:val="5F5E5A"/>
          <w:sz w:val="18"/>
          <w:szCs w:val="18"/>
        </w:rPr>
        <w:t>Ground-truth sources: NIST CFReDS Hacking Case answer key; Digital Corpora M57-Jean; Infosec M57-Jean spear-phishing analysis.</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9D6E4">
    <w:pPr>
      <w:pBdr>
        <w:top w:val="single" w:color="D0D7DE" w:sz="6" w:space="6"/>
      </w:pBdr>
      <w:tabs>
        <w:tab w:val="right" w:pos="9360"/>
      </w:tabs>
    </w:pPr>
    <w:r>
      <w:rPr>
        <w:color w:val="5F5E5A"/>
        <w:sz w:val="16"/>
        <w:szCs w:val="16"/>
      </w:rPr>
      <w:t>Find Evil! — Accuracy Report</w:t>
    </w:r>
    <w:r>
      <w:tab/>
    </w:r>
    <w:r>
      <w:rPr>
        <w:color w:val="5F5E5A"/>
        <w:sz w:val="16"/>
        <w:szCs w:val="16"/>
      </w:rPr>
      <w:t xml:space="preserve">Page </w:t>
    </w:r>
    <w:r>
      <w:rPr>
        <w:color w:val="5F5E5A"/>
        <w:sz w:val="16"/>
        <w:szCs w:val="16"/>
      </w:rPr>
      <w:fldChar w:fldCharType="begin"/>
    </w:r>
    <w:r>
      <w:rPr>
        <w:color w:val="5F5E5A"/>
        <w:sz w:val="16"/>
        <w:szCs w:val="16"/>
      </w:rPr>
      <w:instrText xml:space="preserve">PAGE</w:instrText>
    </w:r>
    <w:r>
      <w:rPr>
        <w:color w:val="5F5E5A"/>
        <w:sz w:val="16"/>
        <w:szCs w:val="16"/>
      </w:rPr>
      <w:fldChar w:fldCharType="separate"/>
    </w:r>
    <w:r>
      <w:rPr>
        <w:color w:val="5F5E5A"/>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rPr>
        <w:color w:val="1D9E75"/>
      </w:rPr>
    </w:lvl>
  </w:abstractNum>
  <w:abstractNum w:abstractNumId="1">
    <w:nsid w:val="59ADCABA"/>
    <w:multiLevelType w:val="singleLevel"/>
    <w:tmpl w:val="59ADCABA"/>
    <w:lvl w:ilvl="0" w:tentative="0">
      <w:start w:val="1"/>
      <w:numFmt w:val="decimal"/>
      <w:lvlText w:val="%1."/>
      <w:lvlJc w:val="left"/>
      <w:pPr>
        <w:ind w:left="470" w:hanging="2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4D30F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F2328"/>
      <w:sz w:val="21"/>
      <w:szCs w:val="21"/>
    </w:rPr>
  </w:style>
  <w:style w:type="paragraph" w:styleId="2">
    <w:name w:val="heading 1"/>
    <w:next w:val="1"/>
    <w:qFormat/>
    <w:uiPriority w:val="0"/>
    <w:pPr>
      <w:spacing w:before="340" w:after="150"/>
      <w:outlineLvl w:val="0"/>
    </w:pPr>
    <w:rPr>
      <w:rFonts w:ascii="Calibri" w:hAnsi="Calibri" w:eastAsia="Calibri" w:cs="Calibri"/>
      <w:b/>
      <w:bCs/>
      <w:color w:val="0B3D62"/>
      <w:sz w:val="28"/>
      <w:szCs w:val="28"/>
    </w:rPr>
  </w:style>
  <w:style w:type="paragraph" w:styleId="3">
    <w:name w:val="heading 2"/>
    <w:next w:val="1"/>
    <w:qFormat/>
    <w:uiPriority w:val="0"/>
    <w:pPr>
      <w:spacing w:before="220" w:after="90"/>
      <w:outlineLvl w:val="1"/>
    </w:pPr>
    <w:rPr>
      <w:rFonts w:ascii="Calibri" w:hAnsi="Calibri" w:eastAsia="Calibri" w:cs="Calibri"/>
      <w:b/>
      <w:bCs/>
      <w:color w:val="0B5394"/>
      <w:sz w:val="22"/>
      <w:szCs w:val="22"/>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F2328"/>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1F2328"/>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F2328"/>
      <w:sz w:val="56"/>
      <w:szCs w:val="56"/>
    </w:rPr>
  </w:style>
  <w:style w:type="paragraph" w:styleId="16">
    <w:name w:val="List Paragraph"/>
    <w:qFormat/>
    <w:uiPriority w:val="0"/>
    <w:rPr>
      <w:rFonts w:ascii="Calibri" w:hAnsi="Calibri" w:eastAsia="Calibri" w:cs="Calibri"/>
      <w:color w:val="1F2328"/>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433</Words>
  <Characters>2510</Characters>
  <TotalTime>0</TotalTime>
  <ScaleCrop>false</ScaleCrop>
  <LinksUpToDate>false</LinksUpToDate>
  <CharactersWithSpaces>2905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2026-06-13T11:30:00Z</dcterms:created>
  <dc:creator>Find Evil! Team</dc:creator>
  <cp:lastModifiedBy>sanika satpute</cp:lastModifiedBy>
  <dcterms:modified xsi:type="dcterms:W3CDTF">2026-06-13T11:32:51Z</dcterms:modified>
  <dc:title>Accuracy Report — Find Evil!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3BEAB2E96107450AADA85EC29F54724B_13</vt:lpwstr>
  </property>
</Properties>
</file>