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b/>
          <w:bCs/>
          <w:color w:val="1D9E75"/>
          <w:spacing w:val="40"/>
          <w:sz w:val="18"/>
          <w:szCs w:val="18"/>
        </w:rPr>
        <w:t xml:space="preserve">SANS “FIND EVIL” HACKATHON  ·  REPRODUCIBILITY</w:t>
      </w:r>
    </w:p>
    <w:p>
      <w:pPr>
        <w:spacing w:after="0" w:before="60"/>
      </w:pPr>
      <w:r>
        <w:rPr>
          <w:b/>
          <w:bCs/>
          <w:color w:val="0B3D62"/>
          <w:sz w:val="48"/>
          <w:szCs w:val="48"/>
        </w:rPr>
        <w:t xml:space="preserve">Dataset Documentation</w:t>
      </w:r>
    </w:p>
    <w:p>
      <w:pPr>
        <w:pBdr>
          <w:bottom w:val="single" w:color="0B3D62" w:sz="24" w:space="8"/>
        </w:pBdr>
        <w:spacing w:after="120" w:before="30"/>
      </w:pPr>
      <w:r>
        <w:rPr>
          <w:i/>
          <w:iCs/>
          <w:color w:val="0B5394"/>
          <w:sz w:val="26"/>
          <w:szCs w:val="26"/>
        </w:rPr>
        <w:t xml:space="preserve">Find Evil! — Autonomous DFIR Triage Agent</w:t>
      </w:r>
    </w:p>
    <w:p>
      <w:pPr>
        <w:spacing w:after="130" w:line="288"/>
      </w:pPr>
      <w:r>
        <w:rPr>
          <w:color w:val="1F2328"/>
          <w:sz w:val="21"/>
          <w:szCs w:val="21"/>
        </w:rPr>
        <w:t xml:space="preserve">This document records exactly what the agent was tested against, where the data comes from, how to obtain and verify it, and what the agent found. It is the starting point for reproducing our results.</w:t>
      </w:r>
    </w:p>
    <w:p>
      <w:pPr>
        <w:spacing w:after="130" w:line="288"/>
      </w:pPr>
      <w:r>
        <w:rPr>
          <w:color w:val="1F2328"/>
          <w:sz w:val="21"/>
          <w:szCs w:val="21"/>
        </w:rPr>
        <w:t xml:space="preserve">All test data are public, standard forensic teaching images. We use them read-only: each image is set chmod 444, a SHA-256 baseline is recorded before analysis and re-verified afterward, and the agent is permitted only read-only Sleuth Kit operations.</w:t>
      </w:r>
    </w:p>
    <w:p>
      <w:pPr>
        <w:spacing w:after="20" w:before="340"/>
      </w:pPr>
      <w:r>
        <w:rPr>
          <w:b/>
          <w:bCs/>
          <w:color w:val="1D9E75"/>
          <w:spacing w:val="30"/>
          <w:sz w:val="18"/>
          <w:szCs w:val="18"/>
        </w:rPr>
        <w:t xml:space="preserve">OVERVIEW</w:t>
      </w:r>
    </w:p>
    <w:p>
      <w:pPr>
        <w:pStyle w:val="Heading1"/>
        <w:pBdr>
          <w:bottom w:val="single" w:color="1D9E75" w:sz="18" w:space="6"/>
        </w:pBdr>
        <w:spacing w:after="160" w:before="0"/>
      </w:pPr>
      <w:r>
        <w:rPr>
          <w:b/>
          <w:bCs/>
          <w:color w:val="0B3D62"/>
          <w:sz w:val="29"/>
          <w:szCs w:val="29"/>
        </w:rPr>
        <w:t xml:space="preserve">Datasets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450"/>
        <w:gridCol w:w="2150"/>
        <w:gridCol w:w="1660"/>
        <w:gridCol w:w="2050"/>
      </w:tblGrid>
      <w:tr>
        <w:trPr>
          <w:tblHeader/>
        </w:trPr>
        <w:tc>
          <w:tcPr>
            <w:tcW w:type="dxa" w:w="2050"/>
            <w:tcBorders>
              <w:top w:val="single" w:color="D0D7DE" w:sz="4"/>
              <w:left w:val="single" w:color="D0D7DE" w:sz="4"/>
              <w:bottom w:val="single" w:color="D0D7DE" w:sz="4"/>
              <w:right w:val="single" w:color="D0D7DE" w:sz="4"/>
            </w:tcBorders>
            <w:shd w:fill="0B3D62" w:color="auto" w:val="clear"/>
            <w:tcMar>
              <w:top w:type="dxa" w:w="70"/>
              <w:left w:type="dxa" w:w="110"/>
              <w:bottom w:type="dxa" w:w="70"/>
              <w:right w:type="dxa" w:w="110"/>
            </w:tcMar>
            <w:vAlign w:val="center"/>
          </w:tcPr>
          <w:p>
            <w:pPr>
              <w:spacing w:after="0" w:line="258"/>
            </w:pPr>
            <w:r>
              <w:rPr>
                <w:b/>
                <w:bCs/>
                <w:color w:val="FFFFFF"/>
                <w:sz w:val="19"/>
                <w:szCs w:val="19"/>
              </w:rPr>
              <w:t xml:space="preserve">Dataset</w:t>
            </w:r>
          </w:p>
        </w:tc>
        <w:tc>
          <w:tcPr>
            <w:tcW w:type="dxa" w:w="1450"/>
            <w:tcBorders>
              <w:top w:val="single" w:color="D0D7DE" w:sz="4"/>
              <w:left w:val="single" w:color="D0D7DE" w:sz="4"/>
              <w:bottom w:val="single" w:color="D0D7DE" w:sz="4"/>
              <w:right w:val="single" w:color="D0D7DE" w:sz="4"/>
            </w:tcBorders>
            <w:shd w:fill="0B3D62" w:color="auto" w:val="clear"/>
            <w:tcMar>
              <w:top w:type="dxa" w:w="70"/>
              <w:left w:type="dxa" w:w="110"/>
              <w:bottom w:type="dxa" w:w="70"/>
              <w:right w:type="dxa" w:w="110"/>
            </w:tcMar>
            <w:vAlign w:val="center"/>
          </w:tcPr>
          <w:p>
            <w:pPr>
              <w:spacing w:after="0" w:line="258"/>
            </w:pPr>
            <w:r>
              <w:rPr>
                <w:b/>
                <w:bCs/>
                <w:color w:val="FFFFFF"/>
                <w:sz w:val="19"/>
                <w:szCs w:val="19"/>
              </w:rPr>
              <w:t xml:space="preserve">Source</w:t>
            </w:r>
          </w:p>
        </w:tc>
        <w:tc>
          <w:tcPr>
            <w:tcW w:type="dxa" w:w="2150"/>
            <w:tcBorders>
              <w:top w:val="single" w:color="D0D7DE" w:sz="4"/>
              <w:left w:val="single" w:color="D0D7DE" w:sz="4"/>
              <w:bottom w:val="single" w:color="D0D7DE" w:sz="4"/>
              <w:right w:val="single" w:color="D0D7DE" w:sz="4"/>
            </w:tcBorders>
            <w:shd w:fill="0B3D62" w:color="auto" w:val="clear"/>
            <w:tcMar>
              <w:top w:type="dxa" w:w="70"/>
              <w:left w:type="dxa" w:w="110"/>
              <w:bottom w:type="dxa" w:w="70"/>
              <w:right w:type="dxa" w:w="110"/>
            </w:tcMar>
            <w:vAlign w:val="center"/>
          </w:tcPr>
          <w:p>
            <w:pPr>
              <w:spacing w:after="0" w:line="258"/>
            </w:pPr>
            <w:r>
              <w:rPr>
                <w:b/>
                <w:bCs/>
                <w:color w:val="FFFFFF"/>
                <w:sz w:val="19"/>
                <w:szCs w:val="19"/>
              </w:rPr>
              <w:t xml:space="preserve">Format</w:t>
            </w:r>
          </w:p>
        </w:tc>
        <w:tc>
          <w:tcPr>
            <w:tcW w:type="dxa" w:w="1660"/>
            <w:tcBorders>
              <w:top w:val="single" w:color="D0D7DE" w:sz="4"/>
              <w:left w:val="single" w:color="D0D7DE" w:sz="4"/>
              <w:bottom w:val="single" w:color="D0D7DE" w:sz="4"/>
              <w:right w:val="single" w:color="D0D7DE" w:sz="4"/>
            </w:tcBorders>
            <w:shd w:fill="0B3D62" w:color="auto" w:val="clear"/>
            <w:tcMar>
              <w:top w:type="dxa" w:w="70"/>
              <w:left w:type="dxa" w:w="110"/>
              <w:bottom w:type="dxa" w:w="70"/>
              <w:right w:type="dxa" w:w="110"/>
            </w:tcMar>
            <w:vAlign w:val="center"/>
          </w:tcPr>
          <w:p>
            <w:pPr>
              <w:spacing w:after="0" w:line="258"/>
            </w:pPr>
            <w:r>
              <w:rPr>
                <w:b/>
                <w:bCs/>
                <w:color w:val="FFFFFF"/>
                <w:sz w:val="19"/>
                <w:szCs w:val="19"/>
              </w:rPr>
              <w:t xml:space="preserve">Investigation type</w:t>
            </w:r>
          </w:p>
        </w:tc>
        <w:tc>
          <w:tcPr>
            <w:tcW w:type="dxa" w:w="2050"/>
            <w:tcBorders>
              <w:top w:val="single" w:color="D0D7DE" w:sz="4"/>
              <w:left w:val="single" w:color="D0D7DE" w:sz="4"/>
              <w:bottom w:val="single" w:color="D0D7DE" w:sz="4"/>
              <w:right w:val="single" w:color="D0D7DE" w:sz="4"/>
            </w:tcBorders>
            <w:shd w:fill="0B3D62" w:color="auto" w:val="clear"/>
            <w:tcMar>
              <w:top w:type="dxa" w:w="70"/>
              <w:left w:type="dxa" w:w="110"/>
              <w:bottom w:type="dxa" w:w="70"/>
              <w:right w:type="dxa" w:w="110"/>
            </w:tcMar>
            <w:vAlign w:val="center"/>
          </w:tcPr>
          <w:p>
            <w:pPr>
              <w:spacing w:after="0" w:line="258"/>
            </w:pPr>
            <w:r>
              <w:rPr>
                <w:b/>
                <w:bCs/>
                <w:color w:val="FFFFFF"/>
                <w:sz w:val="19"/>
                <w:szCs w:val="19"/>
              </w:rPr>
              <w:t xml:space="preserve">Outcome</w:t>
            </w:r>
          </w:p>
        </w:tc>
      </w:tr>
      <w:tr>
        <w:trPr>
          <w:tblHeader w:val="false"/>
        </w:trPr>
        <w:tc>
          <w:tcPr>
            <w:tcW w:type="dxa" w:w="2050"/>
            <w:tcBorders>
              <w:top w:val="single" w:color="D0D7DE" w:sz="4"/>
              <w:left w:val="single" w:color="D0D7DE" w:sz="4"/>
              <w:bottom w:val="single" w:color="D0D7DE" w:sz="4"/>
              <w:right w:val="single" w:color="D0D7DE" w:sz="4"/>
            </w:tcBorders>
            <w:shd w:fill="E6F1FB" w:color="auto" w:val="clear"/>
            <w:tcMar>
              <w:top w:type="dxa" w:w="70"/>
              <w:left w:type="dxa" w:w="110"/>
              <w:bottom w:type="dxa" w:w="70"/>
              <w:right w:type="dxa" w:w="110"/>
            </w:tcMar>
            <w:vAlign w:val="center"/>
          </w:tcPr>
          <w:p>
            <w:pPr>
              <w:spacing w:after="0" w:line="258"/>
            </w:pPr>
            <w:r>
              <w:rPr>
                <w:b w:val="false"/>
                <w:bCs w:val="false"/>
                <w:color w:val="1F2328"/>
                <w:sz w:val="19"/>
                <w:szCs w:val="19"/>
              </w:rPr>
              <w:t xml:space="preserve">CFReDS Hacking Case (Greg Schardt / “Mr. Evil”)</w:t>
            </w:r>
          </w:p>
        </w:tc>
        <w:tc>
          <w:tcPr>
            <w:tcW w:type="dxa" w:w="1450"/>
            <w:tcBorders>
              <w:top w:val="single" w:color="D0D7DE" w:sz="4"/>
              <w:left w:val="single" w:color="D0D7DE" w:sz="4"/>
              <w:bottom w:val="single" w:color="D0D7DE" w:sz="4"/>
              <w:right w:val="single" w:color="D0D7DE" w:sz="4"/>
            </w:tcBorders>
            <w:tcMar>
              <w:top w:type="dxa" w:w="70"/>
              <w:left w:type="dxa" w:w="110"/>
              <w:bottom w:type="dxa" w:w="70"/>
              <w:right w:type="dxa" w:w="110"/>
            </w:tcMar>
            <w:vAlign w:val="center"/>
          </w:tcPr>
          <w:p>
            <w:pPr>
              <w:spacing w:after="0" w:line="258"/>
            </w:pPr>
            <w:r>
              <w:rPr>
                <w:b w:val="false"/>
                <w:bCs w:val="false"/>
                <w:color w:val="1F2328"/>
                <w:sz w:val="19"/>
                <w:szCs w:val="19"/>
              </w:rPr>
              <w:t xml:space="preserve">NIST CFReDS</w:t>
            </w:r>
          </w:p>
        </w:tc>
        <w:tc>
          <w:tcPr>
            <w:tcW w:type="dxa" w:w="2150"/>
            <w:tcBorders>
              <w:top w:val="single" w:color="D0D7DE" w:sz="4"/>
              <w:left w:val="single" w:color="D0D7DE" w:sz="4"/>
              <w:bottom w:val="single" w:color="D0D7DE" w:sz="4"/>
              <w:right w:val="single" w:color="D0D7DE" w:sz="4"/>
            </w:tcBorders>
            <w:tcMar>
              <w:top w:type="dxa" w:w="70"/>
              <w:left w:type="dxa" w:w="110"/>
              <w:bottom w:type="dxa" w:w="70"/>
              <w:right w:type="dxa" w:w="110"/>
            </w:tcMar>
            <w:vAlign w:val="center"/>
          </w:tcPr>
          <w:p>
            <w:pPr>
              <w:spacing w:after="0" w:line="258"/>
            </w:pPr>
            <w:r>
              <w:rPr>
                <w:b w:val="false"/>
                <w:bCs w:val="false"/>
                <w:color w:val="1F2328"/>
                <w:sz w:val="19"/>
                <w:szCs w:val="19"/>
              </w:rPr>
              <w:t xml:space="preserve">EnCase .E01/.E02 and raw SCHARDT.001…008</w:t>
            </w:r>
          </w:p>
        </w:tc>
        <w:tc>
          <w:tcPr>
            <w:tcW w:type="dxa" w:w="1660"/>
            <w:tcBorders>
              <w:top w:val="single" w:color="D0D7DE" w:sz="4"/>
              <w:left w:val="single" w:color="D0D7DE" w:sz="4"/>
              <w:bottom w:val="single" w:color="D0D7DE" w:sz="4"/>
              <w:right w:val="single" w:color="D0D7DE" w:sz="4"/>
            </w:tcBorders>
            <w:tcMar>
              <w:top w:type="dxa" w:w="70"/>
              <w:left w:type="dxa" w:w="110"/>
              <w:bottom w:type="dxa" w:w="70"/>
              <w:right w:type="dxa" w:w="110"/>
            </w:tcMar>
            <w:vAlign w:val="center"/>
          </w:tcPr>
          <w:p>
            <w:pPr>
              <w:spacing w:after="0" w:line="258"/>
            </w:pPr>
            <w:r>
              <w:rPr>
                <w:b w:val="false"/>
                <w:bCs w:val="false"/>
                <w:color w:val="1F2328"/>
                <w:sz w:val="19"/>
                <w:szCs w:val="19"/>
              </w:rPr>
              <w:t xml:space="preserve">Intrusion / attacker tooling</w:t>
            </w:r>
          </w:p>
        </w:tc>
        <w:tc>
          <w:tcPr>
            <w:tcW w:type="dxa" w:w="2050"/>
            <w:tcBorders>
              <w:top w:val="single" w:color="D0D7DE" w:sz="4"/>
              <w:left w:val="single" w:color="D0D7DE" w:sz="4"/>
              <w:bottom w:val="single" w:color="D0D7DE" w:sz="4"/>
              <w:right w:val="single" w:color="D0D7DE" w:sz="4"/>
            </w:tcBorders>
            <w:tcMar>
              <w:top w:type="dxa" w:w="70"/>
              <w:left w:type="dxa" w:w="110"/>
              <w:bottom w:type="dxa" w:w="70"/>
              <w:right w:type="dxa" w:w="110"/>
            </w:tcMar>
            <w:vAlign w:val="center"/>
          </w:tcPr>
          <w:p>
            <w:pPr>
              <w:spacing w:after="0" w:line="258"/>
            </w:pPr>
            <w:r>
              <w:rPr>
                <w:b w:val="false"/>
                <w:bCs w:val="false"/>
                <w:color w:val="1F2328"/>
                <w:sz w:val="19"/>
                <w:szCs w:val="19"/>
              </w:rPr>
              <w:t xml:space="preserve">Attacker staging system</w:t>
            </w:r>
          </w:p>
        </w:tc>
      </w:tr>
      <w:tr>
        <w:trPr>
          <w:tblHeader w:val="false"/>
        </w:trPr>
        <w:tc>
          <w:tcPr>
            <w:tcW w:type="dxa" w:w="2050"/>
            <w:tcBorders>
              <w:top w:val="single" w:color="D0D7DE" w:sz="4"/>
              <w:left w:val="single" w:color="D0D7DE" w:sz="4"/>
              <w:bottom w:val="single" w:color="D0D7DE" w:sz="4"/>
              <w:right w:val="single" w:color="D0D7DE" w:sz="4"/>
            </w:tcBorders>
            <w:shd w:fill="E6F1FB" w:color="auto" w:val="clear"/>
            <w:tcMar>
              <w:top w:type="dxa" w:w="70"/>
              <w:left w:type="dxa" w:w="110"/>
              <w:bottom w:type="dxa" w:w="70"/>
              <w:right w:type="dxa" w:w="110"/>
            </w:tcMar>
            <w:vAlign w:val="center"/>
          </w:tcPr>
          <w:p>
            <w:pPr>
              <w:spacing w:after="0" w:line="258"/>
            </w:pPr>
            <w:r>
              <w:rPr>
                <w:b w:val="false"/>
                <w:bCs w:val="false"/>
                <w:color w:val="1F2328"/>
                <w:sz w:val="19"/>
                <w:szCs w:val="19"/>
              </w:rPr>
              <w:t xml:space="preserve">M57-Jean (nps-2008-jean)</w:t>
            </w:r>
          </w:p>
        </w:tc>
        <w:tc>
          <w:tcPr>
            <w:tcW w:type="dxa" w:w="1450"/>
            <w:tcBorders>
              <w:top w:val="single" w:color="D0D7DE" w:sz="4"/>
              <w:left w:val="single" w:color="D0D7DE" w:sz="4"/>
              <w:bottom w:val="single" w:color="D0D7DE" w:sz="4"/>
              <w:right w:val="single" w:color="D0D7DE" w:sz="4"/>
            </w:tcBorders>
            <w:tcMar>
              <w:top w:type="dxa" w:w="70"/>
              <w:left w:type="dxa" w:w="110"/>
              <w:bottom w:type="dxa" w:w="70"/>
              <w:right w:type="dxa" w:w="110"/>
            </w:tcMar>
            <w:vAlign w:val="center"/>
          </w:tcPr>
          <w:p>
            <w:pPr>
              <w:spacing w:after="0" w:line="258"/>
            </w:pPr>
            <w:r>
              <w:rPr>
                <w:b w:val="false"/>
                <w:bCs w:val="false"/>
                <w:color w:val="1F2328"/>
                <w:sz w:val="19"/>
                <w:szCs w:val="19"/>
              </w:rPr>
              <w:t xml:space="preserve">Digital Corpora</w:t>
            </w:r>
          </w:p>
        </w:tc>
        <w:tc>
          <w:tcPr>
            <w:tcW w:type="dxa" w:w="2150"/>
            <w:tcBorders>
              <w:top w:val="single" w:color="D0D7DE" w:sz="4"/>
              <w:left w:val="single" w:color="D0D7DE" w:sz="4"/>
              <w:bottom w:val="single" w:color="D0D7DE" w:sz="4"/>
              <w:right w:val="single" w:color="D0D7DE" w:sz="4"/>
            </w:tcBorders>
            <w:tcMar>
              <w:top w:type="dxa" w:w="70"/>
              <w:left w:type="dxa" w:w="110"/>
              <w:bottom w:type="dxa" w:w="70"/>
              <w:right w:type="dxa" w:w="110"/>
            </w:tcMar>
            <w:vAlign w:val="center"/>
          </w:tcPr>
          <w:p>
            <w:pPr>
              <w:spacing w:after="0" w:line="258"/>
            </w:pPr>
            <w:r>
              <w:rPr>
                <w:b w:val="false"/>
                <w:bCs w:val="false"/>
                <w:color w:val="1F2328"/>
                <w:sz w:val="19"/>
                <w:szCs w:val="19"/>
              </w:rPr>
              <w:t xml:space="preserve">EnCase .E01/.E02 (≈3 GB)</w:t>
            </w:r>
          </w:p>
        </w:tc>
        <w:tc>
          <w:tcPr>
            <w:tcW w:type="dxa" w:w="1660"/>
            <w:tcBorders>
              <w:top w:val="single" w:color="D0D7DE" w:sz="4"/>
              <w:left w:val="single" w:color="D0D7DE" w:sz="4"/>
              <w:bottom w:val="single" w:color="D0D7DE" w:sz="4"/>
              <w:right w:val="single" w:color="D0D7DE" w:sz="4"/>
            </w:tcBorders>
            <w:tcMar>
              <w:top w:type="dxa" w:w="70"/>
              <w:left w:type="dxa" w:w="110"/>
              <w:bottom w:type="dxa" w:w="70"/>
              <w:right w:type="dxa" w:w="110"/>
            </w:tcMar>
            <w:vAlign w:val="center"/>
          </w:tcPr>
          <w:p>
            <w:pPr>
              <w:spacing w:after="0" w:line="258"/>
            </w:pPr>
            <w:r>
              <w:rPr>
                <w:b w:val="false"/>
                <w:bCs w:val="false"/>
                <w:color w:val="1F2328"/>
                <w:sz w:val="19"/>
                <w:szCs w:val="19"/>
              </w:rPr>
              <w:t xml:space="preserve">Data exfiltration / social engineering</w:t>
            </w:r>
          </w:p>
        </w:tc>
        <w:tc>
          <w:tcPr>
            <w:tcW w:type="dxa" w:w="2050"/>
            <w:tcBorders>
              <w:top w:val="single" w:color="D0D7DE" w:sz="4"/>
              <w:left w:val="single" w:color="D0D7DE" w:sz="4"/>
              <w:bottom w:val="single" w:color="D0D7DE" w:sz="4"/>
              <w:right w:val="single" w:color="D0D7DE" w:sz="4"/>
            </w:tcBorders>
            <w:tcMar>
              <w:top w:type="dxa" w:w="70"/>
              <w:left w:type="dxa" w:w="110"/>
              <w:bottom w:type="dxa" w:w="70"/>
              <w:right w:type="dxa" w:w="110"/>
            </w:tcMar>
            <w:vAlign w:val="center"/>
          </w:tcPr>
          <w:p>
            <w:pPr>
              <w:spacing w:after="0" w:line="258"/>
            </w:pPr>
            <w:r>
              <w:rPr>
                <w:b w:val="false"/>
                <w:bCs w:val="false"/>
                <w:color w:val="1F2328"/>
                <w:sz w:val="19"/>
                <w:szCs w:val="19"/>
              </w:rPr>
              <w:t xml:space="preserve">Social engineering → data exfiltration</w:t>
            </w:r>
          </w:p>
        </w:tc>
      </w:tr>
    </w:tbl>
    <w:p>
      <w:pPr>
        <w:spacing w:after="60"/>
      </w:pPr>
    </w:p>
    <w:p>
      <w:pPr>
        <w:spacing w:after="130" w:line="288"/>
      </w:pPr>
      <w:r>
        <w:rPr>
          <w:i/>
          <w:iCs/>
          <w:color w:val="5F5E5A"/>
          <w:sz w:val="21"/>
          <w:szCs w:val="21"/>
        </w:rPr>
        <w:t xml:space="preserve">Both cases are solved by the same single generalist agent; it determines the investigation type from the evidence rather than being told which case it is looking at.</w:t>
      </w:r>
    </w:p>
    <w:p>
      <w:pPr>
        <w:spacing w:after="20" w:before="340"/>
      </w:pPr>
      <w:r>
        <w:rPr>
          <w:b/>
          <w:bCs/>
          <w:color w:val="1D9E75"/>
          <w:spacing w:val="30"/>
          <w:sz w:val="18"/>
          <w:szCs w:val="18"/>
        </w:rPr>
        <w:t xml:space="preserve">DATASET</w:t>
      </w:r>
    </w:p>
    <w:p>
      <w:pPr>
        <w:pStyle w:val="Heading1"/>
        <w:pBdr>
          <w:bottom w:val="single" w:color="1D9E75" w:sz="18" w:space="6"/>
        </w:pBdr>
        <w:spacing w:after="160" w:before="0"/>
      </w:pPr>
      <w:r>
        <w:rPr>
          <w:b/>
          <w:bCs/>
          <w:color w:val="0B3D62"/>
          <w:sz w:val="29"/>
          <w:szCs w:val="29"/>
        </w:rPr>
        <w:t xml:space="preserve">Dataset 1 — CFReDS Hacking Case (“Mr. Evil”)</w:t>
      </w:r>
    </w:p>
    <w:p>
      <w:pPr>
        <w:pStyle w:val="Heading2"/>
        <w:spacing w:after="90" w:before="220"/>
      </w:pPr>
      <w:r>
        <w:rPr>
          <w:b/>
          <w:bCs/>
          <w:color w:val="0B5394"/>
          <w:sz w:val="22"/>
          <w:szCs w:val="22"/>
        </w:rPr>
        <w:t xml:space="preserve">Source</w:t>
      </w:r>
    </w:p>
    <w:p>
      <w:pPr>
        <w:spacing w:after="130" w:line="288"/>
      </w:pPr>
      <w:r>
        <w:rPr>
          <w:color w:val="1F2328"/>
          <w:sz w:val="21"/>
          <w:szCs w:val="21"/>
        </w:rPr>
        <w:t xml:space="preserve">NIST Computer Forensic Reference Data Sets (CFReDS) project — the “Hacking Case.” Publicly distributed by NIST for forensic training and tool testing.</w:t>
      </w:r>
    </w:p>
    <w:p>
      <w:pPr>
        <w:pStyle w:val="ListParagraph"/>
        <w:numPr>
          <w:ilvl w:val="0"/>
          <w:numId w:val="2"/>
        </w:numPr>
        <w:spacing w:after="40" w:line="276"/>
      </w:pPr>
      <w:r>
        <w:rPr>
          <w:color w:val="1F2328"/>
          <w:sz w:val="20"/>
          <w:szCs w:val="20"/>
        </w:rPr>
        <w:t xml:space="preserve">Project: </w:t>
      </w:r>
      <w:hyperlink w:history="1" r:id="rIdsswgugxnbns8scmj2hf1a">
        <w:r>
          <w:rPr>
            <w:rStyle w:val="Hyperlink"/>
            <w:sz w:val="20"/>
            <w:szCs w:val="20"/>
          </w:rPr>
          <w:t xml:space="preserve">https://cfreds.nist.gov/</w:t>
        </w:r>
      </w:hyperlink>
    </w:p>
    <w:p>
      <w:pPr>
        <w:pStyle w:val="ListParagraph"/>
        <w:numPr>
          <w:ilvl w:val="0"/>
          <w:numId w:val="2"/>
        </w:numPr>
        <w:spacing w:after="40" w:line="276"/>
      </w:pPr>
      <w:r>
        <w:rPr>
          <w:color w:val="1F2328"/>
          <w:sz w:val="20"/>
          <w:szCs w:val="20"/>
        </w:rPr>
        <w:t xml:space="preserve">Case landing (legacy): </w:t>
      </w:r>
      <w:hyperlink w:history="1" r:id="rIdcmrzvjah1ijls761mjs_j">
        <w:r>
          <w:rPr>
            <w:rStyle w:val="Hyperlink"/>
            <w:sz w:val="20"/>
            <w:szCs w:val="20"/>
          </w:rPr>
          <w:t xml:space="preserve">https://cfreds.nist.gov/all/NIST/HackingCase</w:t>
        </w:r>
      </w:hyperlink>
    </w:p>
    <w:p>
      <w:pPr>
        <w:pStyle w:val="Heading2"/>
        <w:spacing w:after="90" w:before="220"/>
      </w:pPr>
      <w:r>
        <w:rPr>
          <w:b/>
          <w:bCs/>
          <w:color w:val="0B5394"/>
          <w:sz w:val="22"/>
          <w:szCs w:val="22"/>
        </w:rPr>
        <w:t xml:space="preserve">Scenario (as published by NIST)</w:t>
      </w:r>
    </w:p>
    <w:p>
      <w:pPr>
        <w:spacing w:after="130" w:line="288"/>
      </w:pPr>
      <w:r>
        <w:rPr>
          <w:color w:val="1F2328"/>
          <w:sz w:val="21"/>
          <w:szCs w:val="21"/>
        </w:rPr>
        <w:t xml:space="preserve">On 09/20/04 a Dell CPi notebook (serial # VLQLW) was found abandoned together with a wireless PCMCIA card and a homemade 802.11b antenna. The machine is suspected of being used for wireless “war-driving” — parking within range of Wi-Fi hotspots (e.g. T-Mobile/Starbucks) to intercept traffic and harvest credit-card numbers, usernames and passwords. The suspect, Greg Schardt, uses the online handle “Mr. Evil.” The stated objectives are to find hacking software, evidence of its use, and any generated data, and to tie the machine to the suspect.</w:t>
      </w:r>
    </w:p>
    <w:p>
      <w:pPr>
        <w:pStyle w:val="Heading2"/>
        <w:spacing w:after="90" w:before="220"/>
      </w:pPr>
      <w:r>
        <w:rPr>
          <w:b/>
          <w:bCs/>
          <w:color w:val="0B5394"/>
          <w:sz w:val="22"/>
          <w:szCs w:val="22"/>
        </w:rPr>
        <w:t xml:space="preserve">Image files</w:t>
      </w:r>
    </w:p>
    <w:p>
      <w:pPr>
        <w:pStyle w:val="ListParagraph"/>
        <w:numPr>
          <w:ilvl w:val="0"/>
          <w:numId w:val="2"/>
        </w:numPr>
        <w:spacing w:after="40" w:line="276"/>
      </w:pPr>
      <w:r>
        <w:rPr>
          <w:color w:val="1F2328"/>
          <w:sz w:val="20"/>
          <w:szCs w:val="20"/>
        </w:rPr>
        <w:t xml:space="preserve">EnCase / Expert Witness: Dell Latitude CPi.E01, Dell Latitude CPi.E02</w:t>
      </w:r>
    </w:p>
    <w:p>
      <w:pPr>
        <w:pStyle w:val="ListParagraph"/>
        <w:numPr>
          <w:ilvl w:val="0"/>
          <w:numId w:val="2"/>
        </w:numPr>
        <w:spacing w:after="40" w:line="276"/>
      </w:pPr>
      <w:r>
        <w:rPr>
          <w:color w:val="1F2328"/>
          <w:sz w:val="20"/>
          <w:szCs w:val="20"/>
        </w:rPr>
        <w:t xml:space="preserve">Raw dd split: SCHARDT.001 … SCHARDT.008 (plus a notes file)</w:t>
      </w:r>
    </w:p>
    <w:p>
      <w:pPr>
        <w:pStyle w:val="ListParagraph"/>
        <w:numPr>
          <w:ilvl w:val="0"/>
          <w:numId w:val="2"/>
        </w:numPr>
        <w:spacing w:after="40" w:line="276"/>
      </w:pPr>
      <w:r>
        <w:rPr>
          <w:color w:val="1F2328"/>
          <w:sz w:val="20"/>
          <w:szCs w:val="20"/>
        </w:rPr>
        <w:t xml:space="preserve">The EnCase set and the raw set are the same physical disk — the agent produces equivalent results from either. We use the .E01 as the primary demo image.</w:t>
      </w:r>
    </w:p>
    <w:p>
      <w:pPr>
        <w:pStyle w:val="Heading2"/>
        <w:spacing w:after="90" w:before="220"/>
      </w:pPr>
      <w:r>
        <w:rPr>
          <w:b/>
          <w:bCs/>
          <w:color w:val="0B5394"/>
          <w:sz w:val="22"/>
          <w:szCs w:val="22"/>
        </w:rPr>
        <w:t xml:space="preserve">Observed acquisition facts (from our run)</w:t>
      </w:r>
    </w:p>
    <w:p>
      <w:pPr>
        <w:pStyle w:val="ListParagraph"/>
        <w:numPr>
          <w:ilvl w:val="0"/>
          <w:numId w:val="2"/>
        </w:numPr>
        <w:spacing w:after="40" w:line="276"/>
      </w:pPr>
      <w:r>
        <w:rPr>
          <w:color w:val="1F2328"/>
          <w:sz w:val="20"/>
          <w:szCs w:val="20"/>
        </w:rPr>
        <w:t xml:space="preserve">Partition table via mmls: NTFS partition at sector offset 63.</w:t>
      </w:r>
    </w:p>
    <w:p>
      <w:pPr>
        <w:pStyle w:val="ListParagraph"/>
        <w:numPr>
          <w:ilvl w:val="0"/>
          <w:numId w:val="2"/>
        </w:numPr>
        <w:spacing w:after="40" w:line="276"/>
      </w:pPr>
      <w:r>
        <w:rPr>
          <w:color w:val="1F2328"/>
          <w:sz w:val="20"/>
          <w:szCs w:val="20"/>
        </w:rPr>
        <w:t xml:space="preserve">Filesystem: NTFS, Windows host; primary user account “Mr. Evil.”</w:t>
      </w:r>
    </w:p>
    <w:p>
      <w:pPr>
        <w:pStyle w:val="ListParagraph"/>
        <w:numPr>
          <w:ilvl w:val="0"/>
          <w:numId w:val="2"/>
        </w:numPr>
        <w:spacing w:after="40" w:line="276"/>
      </w:pPr>
      <w:r>
        <w:rPr>
          <w:color w:val="1F2328"/>
          <w:sz w:val="20"/>
          <w:szCs w:val="20"/>
        </w:rPr>
        <w:t xml:space="preserve">NTFS volume serial: B26CB1CE6CB18D9B (identical across both image formats, confirming they are one disk).</w:t>
      </w:r>
    </w:p>
    <w:p>
      <w:pPr>
        <w:pStyle w:val="ListParagraph"/>
        <w:numPr>
          <w:ilvl w:val="0"/>
          <w:numId w:val="2"/>
        </w:numPr>
        <w:spacing w:after="40" w:line="276"/>
      </w:pPr>
      <w:r>
        <w:rPr>
          <w:color w:val="1F2328"/>
          <w:sz w:val="20"/>
          <w:szCs w:val="20"/>
        </w:rPr>
        <w:t xml:space="preserve">NIST publishes official acquisition MD5/SHA hashes on the case page; our pipeline additionally records its own SHA-256 baseline at run time for chain-of-custody.</w:t>
      </w:r>
    </w:p>
    <w:p>
      <w:pPr>
        <w:pStyle w:val="Heading2"/>
        <w:spacing w:after="90" w:before="220"/>
      </w:pPr>
      <w:r>
        <w:rPr>
          <w:b/>
          <w:bCs/>
          <w:color w:val="0B5394"/>
          <w:sz w:val="22"/>
          <w:szCs w:val="22"/>
        </w:rPr>
        <w:t xml:space="preserve">What the agent found</w:t>
      </w:r>
    </w:p>
    <w:p>
      <w:pPr>
        <w:spacing w:after="130" w:line="288"/>
      </w:pPr>
      <w:r>
        <w:rPr>
          <w:color w:val="1F2328"/>
          <w:sz w:val="21"/>
          <w:szCs w:val="21"/>
        </w:rPr>
        <w:t xml:space="preserve">Classified the laptop as an attacker staging system (Intrusion track). Key findings, each cited to a filesystem inode and source artifact:</w:t>
      </w:r>
    </w:p>
    <w:p>
      <w:pPr>
        <w:pStyle w:val="ListParagraph"/>
        <w:numPr>
          <w:ilvl w:val="0"/>
          <w:numId w:val="2"/>
        </w:numPr>
        <w:spacing w:after="40" w:line="276"/>
      </w:pPr>
      <w:r>
        <w:rPr>
          <w:b/>
          <w:bCs/>
          <w:color w:val="1F2328"/>
          <w:sz w:val="20"/>
          <w:szCs w:val="20"/>
        </w:rPr>
        <w:t xml:space="preserve">Cain &amp; Abel — CONFIRMED EXECUTED</w:t>
      </w:r>
      <w:r>
        <w:rPr>
          <w:color w:val="1F2328"/>
          <w:sz w:val="20"/>
          <w:szCs w:val="20"/>
        </w:rPr>
        <w:t xml:space="preserve"> (prefetch artifact CAIN.EXE-23D61279.pf), not merely present.</w:t>
      </w:r>
    </w:p>
    <w:p>
      <w:pPr>
        <w:pStyle w:val="ListParagraph"/>
        <w:numPr>
          <w:ilvl w:val="0"/>
          <w:numId w:val="2"/>
        </w:numPr>
        <w:spacing w:after="40" w:line="276"/>
      </w:pPr>
      <w:r>
        <w:rPr>
          <w:color w:val="1F2328"/>
          <w:sz w:val="20"/>
          <w:szCs w:val="20"/>
        </w:rPr>
        <w:t xml:space="preserve">Credential theft: pwdump, pwdump2, SAMDUMP.</w:t>
      </w:r>
    </w:p>
    <w:p>
      <w:pPr>
        <w:pStyle w:val="ListParagraph"/>
        <w:numPr>
          <w:ilvl w:val="0"/>
          <w:numId w:val="2"/>
        </w:numPr>
        <w:spacing w:after="40" w:line="276"/>
      </w:pPr>
      <w:r>
        <w:rPr>
          <w:color w:val="1F2328"/>
          <w:sz w:val="20"/>
          <w:szCs w:val="20"/>
        </w:rPr>
        <w:t xml:space="preserve">Network reconnaissance: nmap / nmapNT, nbtscan, enum.</w:t>
      </w:r>
    </w:p>
    <w:p>
      <w:pPr>
        <w:pStyle w:val="ListParagraph"/>
        <w:numPr>
          <w:ilvl w:val="0"/>
          <w:numId w:val="2"/>
        </w:numPr>
        <w:spacing w:after="40" w:line="276"/>
      </w:pPr>
      <w:r>
        <w:rPr>
          <w:color w:val="1F2328"/>
          <w:sz w:val="20"/>
          <w:szCs w:val="20"/>
        </w:rPr>
        <w:t xml:space="preserve">Anti-forensics: ELSAVE (Windows event-log wiper).</w:t>
      </w:r>
    </w:p>
    <w:p>
      <w:pPr>
        <w:pStyle w:val="ListParagraph"/>
        <w:numPr>
          <w:ilvl w:val="0"/>
          <w:numId w:val="2"/>
        </w:numPr>
        <w:spacing w:after="40" w:line="276"/>
      </w:pPr>
      <w:r>
        <w:rPr>
          <w:color w:val="1F2328"/>
          <w:sz w:val="20"/>
          <w:szCs w:val="20"/>
        </w:rPr>
        <w:t xml:space="preserve">Privilege escalation: GetAdmin, SECHOLE.</w:t>
      </w:r>
    </w:p>
    <w:p>
      <w:pPr>
        <w:pStyle w:val="ListParagraph"/>
        <w:numPr>
          <w:ilvl w:val="0"/>
          <w:numId w:val="2"/>
        </w:numPr>
        <w:spacing w:after="40" w:line="276"/>
      </w:pPr>
      <w:r>
        <w:rPr>
          <w:color w:val="1F2328"/>
          <w:sz w:val="20"/>
          <w:szCs w:val="20"/>
        </w:rPr>
        <w:t xml:space="preserve">Remote access: NetBus RAT, WinVNC / vncviewer.</w:t>
      </w:r>
    </w:p>
    <w:p>
      <w:pPr>
        <w:pStyle w:val="ListParagraph"/>
        <w:numPr>
          <w:ilvl w:val="0"/>
          <w:numId w:val="2"/>
        </w:numPr>
        <w:spacing w:after="40" w:line="276"/>
      </w:pPr>
      <w:r>
        <w:rPr>
          <w:color w:val="1F2328"/>
          <w:sz w:val="20"/>
          <w:szCs w:val="20"/>
        </w:rPr>
        <w:t xml:space="preserve">Other tooling: netcat (nc.exe), John the Ripper, Brutus.</w:t>
      </w:r>
    </w:p>
    <w:p>
      <w:pPr>
        <w:pStyle w:val="ListParagraph"/>
        <w:numPr>
          <w:ilvl w:val="0"/>
          <w:numId w:val="2"/>
        </w:numPr>
        <w:spacing w:after="40" w:line="276"/>
      </w:pPr>
      <w:r>
        <w:rPr>
          <w:color w:val="1F2328"/>
          <w:sz w:val="20"/>
          <w:szCs w:val="20"/>
        </w:rPr>
        <w:t xml:space="preserve">Deleted, recovered from the Recycle Bin (INFO2): wireless / packet-capture installers — NetStumbler, Ethereal, WinPcap — consistent with prior war-driving activity.</w:t>
      </w:r>
    </w:p>
    <w:p>
      <w:pPr>
        <w:pStyle w:val="ListParagraph"/>
        <w:numPr>
          <w:ilvl w:val="0"/>
          <w:numId w:val="2"/>
        </w:numPr>
        <w:spacing w:after="40" w:line="276"/>
      </w:pPr>
      <w:r>
        <w:rPr>
          <w:color w:val="1F2328"/>
          <w:sz w:val="20"/>
          <w:szCs w:val="20"/>
        </w:rPr>
        <w:t xml:space="preserve">Attribution: browser / webmail artifacts tying activity to “Mr. Evil” Yahoo / Hotmail accounts.</w:t>
      </w:r>
    </w:p>
    <w:p>
      <w:pPr>
        <w:spacing w:after="130" w:line="288"/>
      </w:pPr>
      <w:r>
        <w:rPr>
          <w:i/>
          <w:iCs/>
          <w:color w:val="5F5E5A"/>
          <w:sz w:val="21"/>
          <w:szCs w:val="21"/>
        </w:rPr>
        <w:t xml:space="preserve">This aligns with the published CFReDS answer key: a fully assembled wireless-interception and credential-theft toolkit owned by Greg Schardt / “Mr. Evil.”</w:t>
      </w:r>
    </w:p>
    <w:p>
      <w:pPr>
        <w:spacing w:after="20" w:before="340"/>
      </w:pPr>
      <w:r>
        <w:rPr>
          <w:b/>
          <w:bCs/>
          <w:color w:val="1D9E75"/>
          <w:spacing w:val="30"/>
          <w:sz w:val="18"/>
          <w:szCs w:val="18"/>
        </w:rPr>
        <w:t xml:space="preserve">DATASET</w:t>
      </w:r>
    </w:p>
    <w:p>
      <w:pPr>
        <w:pStyle w:val="Heading1"/>
        <w:pBdr>
          <w:bottom w:val="single" w:color="1D9E75" w:sz="18" w:space="6"/>
        </w:pBdr>
        <w:spacing w:after="160" w:before="0"/>
      </w:pPr>
      <w:r>
        <w:rPr>
          <w:b/>
          <w:bCs/>
          <w:color w:val="0B3D62"/>
          <w:sz w:val="29"/>
          <w:szCs w:val="29"/>
        </w:rPr>
        <w:t xml:space="preserve">Dataset 2 — M57-Jean (nps-2008-jean)</w:t>
      </w:r>
    </w:p>
    <w:p>
      <w:pPr>
        <w:pStyle w:val="Heading2"/>
        <w:spacing w:after="90" w:before="220"/>
      </w:pPr>
      <w:r>
        <w:rPr>
          <w:b/>
          <w:bCs/>
          <w:color w:val="0B5394"/>
          <w:sz w:val="22"/>
          <w:szCs w:val="22"/>
        </w:rPr>
        <w:t xml:space="preserve">Source</w:t>
      </w:r>
    </w:p>
    <w:p>
      <w:pPr>
        <w:spacing w:after="130" w:line="288"/>
      </w:pPr>
      <w:r>
        <w:rPr>
          <w:color w:val="1F2328"/>
          <w:sz w:val="21"/>
          <w:szCs w:val="21"/>
        </w:rPr>
        <w:t xml:space="preserve">Digital Corpora — the “2009 M57-Jean” scenario, a component of the larger M57-Patents corpus. Freely available for research and education.</w:t>
      </w:r>
    </w:p>
    <w:p>
      <w:pPr>
        <w:pStyle w:val="ListParagraph"/>
        <w:numPr>
          <w:ilvl w:val="0"/>
          <w:numId w:val="2"/>
        </w:numPr>
        <w:spacing w:after="40" w:line="276"/>
      </w:pPr>
      <w:r>
        <w:rPr>
          <w:color w:val="1F2328"/>
          <w:sz w:val="20"/>
          <w:szCs w:val="20"/>
        </w:rPr>
        <w:t xml:space="preserve">Scenario page: </w:t>
      </w:r>
      <w:hyperlink w:history="1" r:id="rId8kstbu9ss-qx7s1kmw2ch">
        <w:r>
          <w:rPr>
            <w:rStyle w:val="Hyperlink"/>
            <w:sz w:val="20"/>
            <w:szCs w:val="20"/>
          </w:rPr>
          <w:t xml:space="preserve">https://digitalcorpora.org/corpora/scenarios/m57-jean/</w:t>
        </w:r>
      </w:hyperlink>
    </w:p>
    <w:p>
      <w:pPr>
        <w:pStyle w:val="Heading2"/>
        <w:spacing w:after="90" w:before="220"/>
      </w:pPr>
      <w:r>
        <w:rPr>
          <w:b/>
          <w:bCs/>
          <w:color w:val="0B5394"/>
          <w:sz w:val="22"/>
          <w:szCs w:val="22"/>
        </w:rPr>
        <w:t xml:space="preserve">Scenario (as published)</w:t>
      </w:r>
    </w:p>
    <w:p>
      <w:pPr>
        <w:spacing w:after="130" w:line="288"/>
      </w:pPr>
      <w:r>
        <w:rPr>
          <w:color w:val="1F2328"/>
          <w:sz w:val="21"/>
          <w:szCs w:val="21"/>
        </w:rPr>
        <w:t xml:space="preserve">A small start-up, M57.biz, discovers that a confidential spreadsheet containing the names and salaries of key employees has been posted to the “comments” section of a competitor's website. The spreadsheet existed on only one machine — that of an officer named Jean — who claims she has no idea how the data left her laptop and believes she was hacked. The task is to determine how the data was exfiltrated, and whether Jean is as innocent as she claims.</w:t>
      </w:r>
    </w:p>
    <w:p>
      <w:pPr>
        <w:pStyle w:val="Heading2"/>
        <w:spacing w:after="90" w:before="220"/>
      </w:pPr>
      <w:r>
        <w:rPr>
          <w:b/>
          <w:bCs/>
          <w:color w:val="0B5394"/>
          <w:sz w:val="22"/>
          <w:szCs w:val="22"/>
        </w:rPr>
        <w:t xml:space="preserve">Image files</w:t>
      </w:r>
    </w:p>
    <w:p>
      <w:pPr>
        <w:pStyle w:val="ListParagraph"/>
        <w:numPr>
          <w:ilvl w:val="0"/>
          <w:numId w:val="2"/>
        </w:numPr>
        <w:spacing w:after="40" w:line="276"/>
      </w:pPr>
      <w:r>
        <w:rPr>
          <w:color w:val="1F2328"/>
          <w:sz w:val="20"/>
          <w:szCs w:val="20"/>
        </w:rPr>
        <w:t xml:space="preserve">EnCase / Expert Witness: nps-2008-jean.E01, nps-2008-jean.E02 (multi-volume EWF, ≈3 GB total).</w:t>
      </w:r>
    </w:p>
    <w:p>
      <w:pPr>
        <w:pStyle w:val="ListParagraph"/>
        <w:numPr>
          <w:ilvl w:val="0"/>
          <w:numId w:val="2"/>
        </w:numPr>
        <w:spacing w:after="40" w:line="276"/>
      </w:pPr>
      <w:r>
        <w:rPr>
          <w:color w:val="1F2328"/>
          <w:sz w:val="20"/>
          <w:szCs w:val="20"/>
        </w:rPr>
        <w:t xml:space="preserve">Both segments are required; they are one logical image.</w:t>
      </w:r>
    </w:p>
    <w:p>
      <w:pPr>
        <w:pStyle w:val="Heading2"/>
        <w:spacing w:after="90" w:before="220"/>
      </w:pPr>
      <w:r>
        <w:rPr>
          <w:b/>
          <w:bCs/>
          <w:color w:val="0B5394"/>
          <w:sz w:val="22"/>
          <w:szCs w:val="22"/>
        </w:rPr>
        <w:t xml:space="preserve">What the agent found</w:t>
      </w:r>
    </w:p>
    <w:p>
      <w:pPr>
        <w:spacing w:after="130" w:line="288"/>
      </w:pPr>
      <w:r>
        <w:rPr>
          <w:color w:val="1F2328"/>
          <w:sz w:val="21"/>
          <w:szCs w:val="21"/>
        </w:rPr>
        <w:t xml:space="preserve">Classified the incident as social engineering → data exfiltration (Exfiltration track) — explicitly not an intrusion or malware case, since no attacker toolkit is present. Findings:</w:t>
      </w:r>
    </w:p>
    <w:p>
      <w:pPr>
        <w:pStyle w:val="ListParagraph"/>
        <w:numPr>
          <w:ilvl w:val="0"/>
          <w:numId w:val="2"/>
        </w:numPr>
        <w:spacing w:after="40" w:line="276"/>
      </w:pPr>
      <w:r>
        <w:rPr>
          <w:color w:val="1F2328"/>
          <w:sz w:val="20"/>
          <w:szCs w:val="20"/>
        </w:rPr>
        <w:t xml:space="preserve">Sensitive document: the spreadsheet m57biz.xls (employee names, salaries, SSNs).</w:t>
      </w:r>
    </w:p>
    <w:p>
      <w:pPr>
        <w:pStyle w:val="ListParagraph"/>
        <w:numPr>
          <w:ilvl w:val="0"/>
          <w:numId w:val="2"/>
        </w:numPr>
        <w:spacing w:after="40" w:line="276"/>
      </w:pPr>
      <w:r>
        <w:rPr>
          <w:color w:val="1F2328"/>
          <w:sz w:val="20"/>
          <w:szCs w:val="20"/>
        </w:rPr>
        <w:t xml:space="preserve">Social-engineering pretext: a request that appeared to come from alison@m57.biz (a company officer), while the actual external correspondent was tuckgorge@gmail.com.</w:t>
      </w:r>
    </w:p>
    <w:p>
      <w:pPr>
        <w:pStyle w:val="ListParagraph"/>
        <w:numPr>
          <w:ilvl w:val="0"/>
          <w:numId w:val="2"/>
        </w:numPr>
        <w:spacing w:after="40" w:line="276"/>
      </w:pPr>
      <w:r>
        <w:rPr>
          <w:color w:val="1F2328"/>
          <w:sz w:val="20"/>
          <w:szCs w:val="20"/>
        </w:rPr>
        <w:t xml:space="preserve">Outbound disclosure: Jean emailed m57biz.xls to the external Gmail address.</w:t>
      </w:r>
    </w:p>
    <w:p>
      <w:pPr>
        <w:pStyle w:val="ListParagraph"/>
        <w:numPr>
          <w:ilvl w:val="0"/>
          <w:numId w:val="2"/>
        </w:numPr>
        <w:spacing w:after="40" w:line="276"/>
      </w:pPr>
      <w:r>
        <w:rPr>
          <w:color w:val="1F2328"/>
          <w:sz w:val="20"/>
          <w:szCs w:val="20"/>
        </w:rPr>
        <w:t xml:space="preserve">Generic detection logic: the collector auto-detected the organisation's home domain (m57.biz) as the most frequent email domain on disk, then flagged any message carrying an attachment to an address outside that domain — nothing about this case is hard-coded.</w:t>
      </w:r>
    </w:p>
    <w:p>
      <w:pPr>
        <w:spacing w:after="130" w:line="288"/>
      </w:pPr>
      <w:r>
        <w:rPr>
          <w:i/>
          <w:iCs/>
          <w:color w:val="5F5E5A"/>
          <w:sz w:val="21"/>
          <w:szCs w:val="21"/>
        </w:rPr>
        <w:t xml:space="preserve">This matches the established M57-Jean ground truth: Jean was socially engineered (spear-phished) into emailing the spreadsheet to an outsider; the exfiltration channel was email.</w:t>
      </w:r>
    </w:p>
    <w:p>
      <w:pPr>
        <w:spacing w:after="20" w:before="340"/>
      </w:pPr>
      <w:r>
        <w:rPr>
          <w:b/>
          <w:bCs/>
          <w:color w:val="1D9E75"/>
          <w:spacing w:val="30"/>
          <w:sz w:val="18"/>
          <w:szCs w:val="18"/>
        </w:rPr>
        <w:t xml:space="preserve">SCOPE</w:t>
      </w:r>
    </w:p>
    <w:p>
      <w:pPr>
        <w:pStyle w:val="Heading1"/>
        <w:pBdr>
          <w:bottom w:val="single" w:color="1D9E75" w:sz="18" w:space="6"/>
        </w:pBdr>
        <w:spacing w:after="160" w:before="0"/>
      </w:pPr>
      <w:r>
        <w:rPr>
          <w:b/>
          <w:bCs/>
          <w:color w:val="0B3D62"/>
          <w:sz w:val="29"/>
          <w:szCs w:val="29"/>
        </w:rPr>
        <w:t xml:space="preserve">Data Deliberately Out of Scope</w:t>
      </w:r>
    </w:p>
    <w:p>
      <w:pPr>
        <w:spacing w:after="130" w:line="288"/>
      </w:pPr>
      <w:r>
        <w:rPr>
          <w:color w:val="1F2328"/>
          <w:sz w:val="21"/>
          <w:szCs w:val="21"/>
        </w:rPr>
        <w:t xml:space="preserve">The following items sometimes appear alongside these cases but are not disk images and are excluded from the agent's disk-triage scope by design:</w:t>
      </w:r>
    </w:p>
    <w:p>
      <w:pPr>
        <w:pStyle w:val="ListParagraph"/>
        <w:numPr>
          <w:ilvl w:val="0"/>
          <w:numId w:val="2"/>
        </w:numPr>
        <w:spacing w:after="40" w:line="276"/>
      </w:pPr>
      <w:r>
        <w:rPr>
          <w:color w:val="1F2328"/>
          <w:sz w:val="20"/>
          <w:szCs w:val="20"/>
        </w:rPr>
        <w:t xml:space="preserve">nitroba.pcap — a network capture, not a filesystem (would require a packet-analysis track).</w:t>
      </w:r>
    </w:p>
    <w:p>
      <w:pPr>
        <w:pStyle w:val="ListParagraph"/>
        <w:numPr>
          <w:ilvl w:val="0"/>
          <w:numId w:val="2"/>
        </w:numPr>
        <w:spacing w:after="40" w:line="276"/>
      </w:pPr>
      <w:r>
        <w:rPr>
          <w:color w:val="1F2328"/>
          <w:sz w:val="20"/>
          <w:szCs w:val="20"/>
        </w:rPr>
        <w:t xml:space="preserve">Dc1.exe and similar standalone binaries — single executables, not mountable images.</w:t>
      </w:r>
    </w:p>
    <w:p>
      <w:pPr>
        <w:spacing w:after="130" w:line="288"/>
      </w:pPr>
      <w:r>
        <w:rPr>
          <w:i/>
          <w:iCs/>
          <w:color w:val="5F5E5A"/>
          <w:sz w:val="21"/>
          <w:szCs w:val="21"/>
        </w:rPr>
        <w:t xml:space="preserve">They are noted here so reviewers know the boundary of what was tested.</w:t>
      </w:r>
    </w:p>
    <w:p>
      <w:pPr>
        <w:spacing w:after="20" w:before="340"/>
      </w:pPr>
      <w:r>
        <w:rPr>
          <w:b/>
          <w:bCs/>
          <w:color w:val="1D9E75"/>
          <w:spacing w:val="30"/>
          <w:sz w:val="18"/>
          <w:szCs w:val="18"/>
        </w:rPr>
        <w:t xml:space="preserve">HOW TO REPRODUCE</w:t>
      </w:r>
    </w:p>
    <w:p>
      <w:pPr>
        <w:pStyle w:val="Heading1"/>
        <w:pBdr>
          <w:bottom w:val="single" w:color="1D9E75" w:sz="18" w:space="6"/>
        </w:pBdr>
        <w:spacing w:after="160" w:before="0"/>
      </w:pPr>
      <w:r>
        <w:rPr>
          <w:b/>
          <w:bCs/>
          <w:color w:val="0B3D62"/>
          <w:sz w:val="29"/>
          <w:szCs w:val="29"/>
        </w:rPr>
        <w:t xml:space="preserve">Reproducibility &amp; Evidence Integrity</w:t>
      </w:r>
    </w:p>
    <w:p>
      <w:pPr>
        <w:pStyle w:val="ListParagraph"/>
        <w:numPr>
          <w:ilvl w:val="0"/>
          <w:numId w:val="3"/>
        </w:numPr>
        <w:spacing w:after="60" w:line="280"/>
      </w:pPr>
      <w:r>
        <w:rPr>
          <w:color w:val="1F2328"/>
          <w:sz w:val="21"/>
          <w:szCs w:val="21"/>
        </w:rPr>
        <w:t xml:space="preserve">Obtain the images from the sources above (NIST CFReDS; Digital Corpora). Both are free.</w:t>
      </w:r>
    </w:p>
    <w:p>
      <w:pPr>
        <w:spacing w:after="130" w:line="288"/>
      </w:pPr>
      <w:r>
        <w:rPr>
          <w:color w:val="1F2328"/>
          <w:sz w:val="21"/>
          <w:szCs w:val="21"/>
        </w:rPr>
        <w:t xml:space="preserve">Lock them read-only and baseline them before any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D9E75" w:sz="14"/>
              <w:bottom w:val="single" w:color="D0D7DE" w:sz="4"/>
              <w:right w:val="single" w:color="D0D7DE" w:sz="4"/>
            </w:tcBorders>
            <w:shd w:fill="F3F4F1" w:color="auto" w:val="clear"/>
            <w:tcMar>
              <w:top w:type="dxa" w:w="90"/>
              <w:left w:type="dxa" w:w="140"/>
              <w:bottom w:type="dxa" w:w="90"/>
              <w:right w:type="dxa" w:w="140"/>
            </w:tcMar>
          </w:tcPr>
          <w:p>
            <w:pPr>
              <w:spacing w:after="0" w:line="252"/>
            </w:pPr>
            <w:r>
              <w:rPr>
                <w:rFonts w:ascii="Consolas" w:cs="Consolas" w:eastAsia="Consolas" w:hAnsi="Consolas"/>
                <w:color w:val="24433a"/>
                <w:sz w:val="18"/>
                <w:szCs w:val="18"/>
              </w:rPr>
              <w:t xml:space="preserve">chmod 444 &lt;image&gt;</w:t>
            </w:r>
          </w:p>
          <w:p>
            <w:pPr>
              <w:spacing w:after="0" w:line="252"/>
            </w:pPr>
            <w:r>
              <w:rPr>
                <w:rFonts w:ascii="Consolas" w:cs="Consolas" w:eastAsia="Consolas" w:hAnsi="Consolas"/>
                <w:color w:val="24433a"/>
                <w:sz w:val="18"/>
                <w:szCs w:val="18"/>
              </w:rPr>
              <w:t xml:space="preserve">sha256sum &lt;image&gt; &gt; &lt;image&gt;.sha256        # baseline (chain of custody)</w:t>
            </w:r>
          </w:p>
        </w:tc>
      </w:tr>
    </w:tbl>
    <w:p>
      <w:pPr>
        <w:spacing w:after="130" w:line="288"/>
      </w:pPr>
      <w:r>
        <w:rPr>
          <w:color w:val="1F2328"/>
          <w:sz w:val="21"/>
          <w:szCs w:val="21"/>
        </w:rPr>
        <w:t xml:space="preserve">Phase 1 — deterministic collection (no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D9E75" w:sz="14"/>
              <w:bottom w:val="single" w:color="D0D7DE" w:sz="4"/>
              <w:right w:val="single" w:color="D0D7DE" w:sz="4"/>
            </w:tcBorders>
            <w:shd w:fill="F3F4F1" w:color="auto" w:val="clear"/>
            <w:tcMar>
              <w:top w:type="dxa" w:w="90"/>
              <w:left w:type="dxa" w:w="140"/>
              <w:bottom w:type="dxa" w:w="90"/>
              <w:right w:type="dxa" w:w="140"/>
            </w:tcMar>
          </w:tcPr>
          <w:p>
            <w:pPr>
              <w:spacing w:after="0" w:line="252"/>
            </w:pPr>
            <w:r>
              <w:rPr>
                <w:rFonts w:ascii="Consolas" w:cs="Consolas" w:eastAsia="Consolas" w:hAnsi="Consolas"/>
                <w:color w:val="24433a"/>
                <w:sz w:val="18"/>
                <w:szCs w:val="18"/>
              </w:rPr>
              <w:t xml:space="preserve">bash collect.sh "&lt;image&gt;" bundle/</w:t>
            </w:r>
          </w:p>
        </w:tc>
      </w:tr>
    </w:tbl>
    <w:p>
      <w:pPr>
        <w:spacing w:after="130" w:line="288"/>
      </w:pPr>
      <w:r>
        <w:rPr>
          <w:color w:val="1F2328"/>
          <w:sz w:val="21"/>
          <w:szCs w:val="21"/>
        </w:rPr>
        <w:t xml:space="preserve">collect.sh auto-detects the partition offset from mmls (offset 63 on these NTFS volumes) and builds a text “evidence bundle” using read-only Sleuth Kit tools.</w:t>
      </w:r>
    </w:p>
    <w:p>
      <w:pPr>
        <w:spacing w:after="130" w:line="288"/>
      </w:pPr>
      <w:r>
        <w:rPr>
          <w:color w:val="1F2328"/>
          <w:sz w:val="21"/>
          <w:szCs w:val="21"/>
        </w:rPr>
        <w:t xml:space="preserve">Phase 2 — autonomous reasoning over the bundle via Claude Code (claude -p, --permission-mode dontAsk), governed by CLAUDE.md.</w:t>
      </w:r>
    </w:p>
    <w:p>
      <w:pPr>
        <w:spacing w:after="130" w:line="288"/>
      </w:pPr>
      <w:r>
        <w:rPr>
          <w:color w:val="1F2328"/>
          <w:sz w:val="21"/>
          <w:szCs w:val="21"/>
        </w:rPr>
        <w:t xml:space="preserve">Verify integrity after the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1D9E75" w:sz="14"/>
              <w:bottom w:val="single" w:color="D0D7DE" w:sz="4"/>
              <w:right w:val="single" w:color="D0D7DE" w:sz="4"/>
            </w:tcBorders>
            <w:shd w:fill="F3F4F1" w:color="auto" w:val="clear"/>
            <w:tcMar>
              <w:top w:type="dxa" w:w="90"/>
              <w:left w:type="dxa" w:w="140"/>
              <w:bottom w:type="dxa" w:w="90"/>
              <w:right w:type="dxa" w:w="140"/>
            </w:tcMar>
          </w:tcPr>
          <w:p>
            <w:pPr>
              <w:spacing w:after="0" w:line="252"/>
            </w:pPr>
            <w:r>
              <w:rPr>
                <w:rFonts w:ascii="Consolas" w:cs="Consolas" w:eastAsia="Consolas" w:hAnsi="Consolas"/>
                <w:color w:val="24433a"/>
                <w:sz w:val="18"/>
                <w:szCs w:val="18"/>
              </w:rPr>
              <w:t xml:space="preserve">sha256sum -c &lt;image&gt;.sha256                # must report OK — image unchanged</w:t>
            </w:r>
          </w:p>
        </w:tc>
      </w:tr>
    </w:tbl>
    <w:p>
      <w:pPr>
        <w:spacing w:after="130" w:line="288"/>
      </w:pPr>
      <w:r>
        <w:rPr>
          <w:color w:val="1F2328"/>
          <w:sz w:val="21"/>
          <w:szCs w:val="21"/>
        </w:rPr>
        <w:t xml:space="preserve">Because the images are chmod 444 and write-class commands are denied by the agent's permission configuration, the post-run hash matches the baseline on every run (no spoliation).</w:t>
      </w:r>
    </w:p>
    <w:p>
      <w:pPr>
        <w:pStyle w:val="Heading2"/>
        <w:spacing w:after="90" w:before="220"/>
      </w:pPr>
      <w:r>
        <w:rPr>
          <w:b/>
          <w:bCs/>
          <w:color w:val="0B5394"/>
          <w:sz w:val="22"/>
          <w:szCs w:val="22"/>
        </w:rPr>
        <w:t xml:space="preserve">Format note</w:t>
      </w:r>
    </w:p>
    <w:p>
      <w:pPr>
        <w:spacing w:after="130" w:line="288"/>
      </w:pPr>
      <w:r>
        <w:rPr>
          <w:color w:val="1F2328"/>
          <w:sz w:val="21"/>
          <w:szCs w:val="21"/>
        </w:rPr>
        <w:t xml:space="preserve">For the Schardt disk, the EnCase .E01 and the raw SCHARDT.001… split are the same physical disk (identical NTFS volume serial), so either format reproduces the same findings; we recommend the .E01 as the primary image.</w:t>
      </w:r>
    </w:p>
    <w:p>
      <w:pPr>
        <w:spacing w:after="20" w:before="340"/>
      </w:pPr>
      <w:r>
        <w:rPr>
          <w:b/>
          <w:bCs/>
          <w:color w:val="1D9E75"/>
          <w:spacing w:val="30"/>
          <w:sz w:val="18"/>
          <w:szCs w:val="18"/>
        </w:rPr>
        <w:t xml:space="preserve">REFERENCES</w:t>
      </w:r>
    </w:p>
    <w:p>
      <w:pPr>
        <w:pStyle w:val="Heading1"/>
        <w:pBdr>
          <w:bottom w:val="single" w:color="1D9E75" w:sz="18" w:space="6"/>
        </w:pBdr>
        <w:spacing w:after="160" w:before="0"/>
      </w:pPr>
      <w:r>
        <w:rPr>
          <w:b/>
          <w:bCs/>
          <w:color w:val="0B3D62"/>
          <w:sz w:val="29"/>
          <w:szCs w:val="29"/>
        </w:rPr>
        <w:t xml:space="preserve">Sources</w:t>
      </w:r>
    </w:p>
    <w:p>
      <w:pPr>
        <w:pStyle w:val="ListParagraph"/>
        <w:numPr>
          <w:ilvl w:val="0"/>
          <w:numId w:val="2"/>
        </w:numPr>
        <w:spacing w:after="40" w:line="276"/>
      </w:pPr>
      <w:r>
        <w:rPr>
          <w:color w:val="1F2328"/>
          <w:sz w:val="20"/>
          <w:szCs w:val="20"/>
        </w:rPr>
        <w:t xml:space="preserve">NIST CFReDS project — </w:t>
      </w:r>
      <w:hyperlink w:history="1" r:id="rId2f5yl6-0fjwhnqg_k_4j-">
        <w:r>
          <w:rPr>
            <w:rStyle w:val="Hyperlink"/>
            <w:sz w:val="20"/>
            <w:szCs w:val="20"/>
          </w:rPr>
          <w:t xml:space="preserve">https://cfreds.nist.gov/</w:t>
        </w:r>
      </w:hyperlink>
    </w:p>
    <w:p>
      <w:pPr>
        <w:pStyle w:val="ListParagraph"/>
        <w:numPr>
          <w:ilvl w:val="0"/>
          <w:numId w:val="2"/>
        </w:numPr>
        <w:spacing w:after="40" w:line="276"/>
      </w:pPr>
      <w:r>
        <w:rPr>
          <w:color w:val="1F2328"/>
          <w:sz w:val="20"/>
          <w:szCs w:val="20"/>
        </w:rPr>
        <w:t xml:space="preserve">NIST CFReDS Hacking Case — </w:t>
      </w:r>
      <w:hyperlink w:history="1" r:id="rId4d4nmah3orpoygpop2vtm">
        <w:r>
          <w:rPr>
            <w:rStyle w:val="Hyperlink"/>
            <w:sz w:val="20"/>
            <w:szCs w:val="20"/>
          </w:rPr>
          <w:t xml:space="preserve">https://cfreds.nist.gov/all/NIST/HackingCase</w:t>
        </w:r>
      </w:hyperlink>
    </w:p>
    <w:p>
      <w:pPr>
        <w:pStyle w:val="ListParagraph"/>
        <w:numPr>
          <w:ilvl w:val="0"/>
          <w:numId w:val="2"/>
        </w:numPr>
        <w:spacing w:after="40" w:line="276"/>
      </w:pPr>
      <w:r>
        <w:rPr>
          <w:color w:val="1F2328"/>
          <w:sz w:val="20"/>
          <w:szCs w:val="20"/>
        </w:rPr>
        <w:t xml:space="preserve">Digital Corpora, 2009 M57-Jean scenario — </w:t>
      </w:r>
      <w:hyperlink w:history="1" r:id="rIdyohpcwkbib3iqjlcp3ejw">
        <w:r>
          <w:rPr>
            <w:rStyle w:val="Hyperlink"/>
            <w:sz w:val="20"/>
            <w:szCs w:val="20"/>
          </w:rPr>
          <w:t xml:space="preserve">https://digitalcorpora.org/corpora/scenarios/m57-jean/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6" w:space="6"/>
      </w:pBdr>
      <w:tabs>
        <w:tab w:val="right" w:pos="9360"/>
      </w:tabs>
    </w:pPr>
    <w:r>
      <w:rPr>
        <w:color w:val="5F5E5A"/>
        <w:sz w:val="16"/>
        <w:szCs w:val="16"/>
      </w:rPr>
      <w:t xml:space="preserve">Find Evil! — Dataset Documentation</w:t>
    </w:r>
    <w:r>
      <w:t xml:space="preserve">	</w:t>
    </w:r>
    <w:r>
      <w:rPr>
        <w:color w:val="5F5E5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D9E75"/>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Calibri" w:cs="Calibri" w:eastAsia="Calibri" w:hAnsi="Calibri"/>
      <w:b/>
      <w:bCs/>
      <w:color w:val="0B3D62"/>
      <w:sz w:val="29"/>
      <w:szCs w:val="29"/>
    </w:rPr>
  </w:style>
  <w:style w:type="paragraph" w:styleId="Heading2">
    <w:name w:val="Heading 2"/>
    <w:basedOn w:val="Normal"/>
    <w:next w:val="Normal"/>
    <w:qFormat/>
    <w:pPr>
      <w:spacing w:after="90" w:before="220"/>
      <w:outlineLvl w:val="1"/>
    </w:pPr>
    <w:rPr>
      <w:rFonts w:ascii="Calibri" w:cs="Calibri" w:eastAsia="Calibri" w:hAnsi="Calibri"/>
      <w:b/>
      <w:bCs/>
      <w:color w:val="0B539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swgugxnbns8scmj2hf1a" Type="http://schemas.openxmlformats.org/officeDocument/2006/relationships/hyperlink" Target="https://cfreds.nist.gov/" TargetMode="External"/><Relationship Id="rIdcmrzvjah1ijls761mjs_j" Type="http://schemas.openxmlformats.org/officeDocument/2006/relationships/hyperlink" Target="https://cfreds.nist.gov/all/NIST/HackingCase" TargetMode="External"/><Relationship Id="rId8kstbu9ss-qx7s1kmw2ch" Type="http://schemas.openxmlformats.org/officeDocument/2006/relationships/hyperlink" Target="https://digitalcorpora.org/corpora/scenarios/m57-jean/" TargetMode="External"/><Relationship Id="rId2f5yl6-0fjwhnqg_k_4j-" Type="http://schemas.openxmlformats.org/officeDocument/2006/relationships/hyperlink" Target="https://cfreds.nist.gov/" TargetMode="External"/><Relationship Id="rId4d4nmah3orpoygpop2vtm" Type="http://schemas.openxmlformats.org/officeDocument/2006/relationships/hyperlink" Target="https://cfreds.nist.gov/all/NIST/HackingCase" TargetMode="External"/><Relationship Id="rIdyohpcwkbib3iqjlcp3ejw" Type="http://schemas.openxmlformats.org/officeDocument/2006/relationships/hyperlink" Target="https://digitalcorpora.org/corpora/scenarios/m57-jea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Dataset Documentation — Find Evil!</dc:title>
  <dc:creator>Find Evil! Team</dc:creator>
  <cp:lastModifiedBy>Un-named</cp:lastModifiedBy>
  <cp:revision>1</cp:revision>
  <dcterms:created xsi:type="dcterms:W3CDTF">2026-06-13T10:50:23.141Z</dcterms:created>
  <dcterms:modified xsi:type="dcterms:W3CDTF">2026-06-13T10:50:23.162Z</dcterms:modified>
</cp:coreProperties>
</file>

<file path=docProps/custom.xml><?xml version="1.0" encoding="utf-8"?>
<Properties xmlns="http://schemas.openxmlformats.org/officeDocument/2006/custom-properties" xmlns:vt="http://schemas.openxmlformats.org/officeDocument/2006/docPropsVTypes"/>
</file>