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3AE011">
      <w:pPr>
        <w:spacing w:before="240" w:after="0"/>
        <w:rPr>
          <w:sz w:val="22"/>
          <w:szCs w:val="22"/>
        </w:rPr>
      </w:pPr>
      <w:r>
        <w:rPr>
          <w:b/>
          <w:bCs/>
          <w:color w:val="1D9E75"/>
          <w:spacing w:val="40"/>
          <w:sz w:val="22"/>
          <w:szCs w:val="22"/>
        </w:rPr>
        <w:t>SANS “FIND EVIL” HACKATHON  ·  AUTONOMOUS DFIR</w:t>
      </w:r>
    </w:p>
    <w:p w14:paraId="6070181A">
      <w:pPr>
        <w:spacing w:before="60" w:after="0"/>
      </w:pPr>
      <w:r>
        <w:rPr>
          <w:b/>
          <w:bCs/>
          <w:color w:val="0B3D62"/>
          <w:sz w:val="52"/>
          <w:szCs w:val="52"/>
        </w:rPr>
        <w:t>SIFT Defender Agent</w:t>
      </w:r>
    </w:p>
    <w:p w14:paraId="20E57C96">
      <w:pPr>
        <w:pBdr>
          <w:bottom w:val="single" w:color="0B3D62" w:sz="24" w:space="8"/>
        </w:pBdr>
        <w:spacing w:before="40" w:after="120"/>
      </w:pPr>
      <w:r>
        <w:rPr>
          <w:i/>
          <w:iCs/>
          <w:color w:val="0B5394"/>
          <w:sz w:val="30"/>
          <w:szCs w:val="30"/>
        </w:rPr>
        <w:t>Autonomous Read-Only DFIR for “Find Evil”</w:t>
      </w:r>
    </w:p>
    <w:p w14:paraId="6D2E4425">
      <w:pPr>
        <w:spacing w:after="240"/>
        <w:rPr>
          <w:sz w:val="23"/>
          <w:szCs w:val="23"/>
        </w:rPr>
      </w:pPr>
      <w:r>
        <w:rPr>
          <w:color w:val="5F5E5A"/>
          <w:sz w:val="23"/>
          <w:szCs w:val="23"/>
        </w:rPr>
        <w:t>Direct Agent Extension (Claude Code) on the SANS SIFT Workstation  ·  read-only by architecture</w:t>
      </w:r>
    </w:p>
    <w:p w14:paraId="77375F27">
      <w:pPr>
        <w:spacing w:before="320" w:after="20"/>
      </w:pPr>
      <w:r>
        <w:rPr>
          <w:b/>
          <w:bCs/>
          <w:color w:val="1D9E75"/>
          <w:spacing w:val="30"/>
          <w:sz w:val="18"/>
          <w:szCs w:val="18"/>
        </w:rPr>
        <w:t>OVERVIEW</w:t>
      </w:r>
    </w:p>
    <w:p w14:paraId="7033B351">
      <w:pPr>
        <w:pStyle w:val="2"/>
        <w:pBdr>
          <w:bottom w:val="single" w:color="1D9E75" w:sz="18" w:space="6"/>
        </w:pBdr>
        <w:spacing w:before="0" w:after="160"/>
      </w:pPr>
      <w:r>
        <w:rPr>
          <w:b/>
          <w:bCs/>
          <w:color w:val="0B3D62"/>
          <w:sz w:val="30"/>
          <w:szCs w:val="30"/>
        </w:rPr>
        <w:t>What It Does</w:t>
      </w:r>
    </w:p>
    <w:p w14:paraId="6096820D">
      <w:pPr>
        <w:spacing w:after="140" w:line="288" w:lineRule="auto"/>
        <w:rPr>
          <w:sz w:val="23"/>
          <w:szCs w:val="23"/>
        </w:rPr>
      </w:pPr>
      <w:r>
        <w:rPr>
          <w:color w:val="1F2328"/>
          <w:sz w:val="23"/>
          <w:szCs w:val="23"/>
        </w:rPr>
        <w:t>Digital forensics investigations often require analysts to manually execute dozens of commands, inspect thousands of artifacts, correlate evidence across filesystems, email stores, timelines, browser data, and attacker tools, and then produce a defensible report. This process is slow, repetitive, and highly dependent on analyst experience.</w:t>
      </w:r>
    </w:p>
    <w:p w14:paraId="73F33AE9">
      <w:pPr>
        <w:spacing w:after="120" w:line="288" w:lineRule="auto"/>
        <w:rPr>
          <w:sz w:val="23"/>
          <w:szCs w:val="23"/>
        </w:rPr>
      </w:pPr>
      <w:r>
        <w:rPr>
          <w:color w:val="1F2328"/>
          <w:sz w:val="23"/>
          <w:szCs w:val="23"/>
        </w:rPr>
        <w:t xml:space="preserve">Our project, </w:t>
      </w:r>
      <w:r>
        <w:rPr>
          <w:b/>
          <w:bCs/>
          <w:color w:val="0B3D62"/>
          <w:sz w:val="23"/>
          <w:szCs w:val="23"/>
        </w:rPr>
        <w:t>SIFT Defender Agent</w:t>
      </w:r>
      <w:r>
        <w:rPr>
          <w:color w:val="1F2328"/>
          <w:sz w:val="23"/>
          <w:szCs w:val="23"/>
        </w:rPr>
        <w:t>, transforms that workflow into an autonomous DFIR analyst running on the SANS SIFT Workstation.</w:t>
      </w:r>
    </w:p>
    <w:p w14:paraId="72247134">
      <w:pPr>
        <w:spacing w:after="140" w:line="288" w:lineRule="auto"/>
        <w:rPr>
          <w:sz w:val="23"/>
          <w:szCs w:val="23"/>
        </w:rPr>
      </w:pPr>
      <w:r>
        <w:rPr>
          <w:color w:val="1F2328"/>
          <w:sz w:val="23"/>
          <w:szCs w:val="23"/>
        </w:rPr>
        <w:t>The agent accepts a forensic disk image (E01, raw image, etc.) and automatically:</w:t>
      </w:r>
    </w:p>
    <w:p w14:paraId="7F7D97A7">
      <w:pPr>
        <w:pStyle w:val="16"/>
        <w:numPr>
          <w:ilvl w:val="0"/>
          <w:numId w:val="1"/>
        </w:numPr>
        <w:spacing w:after="40" w:line="276" w:lineRule="auto"/>
        <w:rPr>
          <w:sz w:val="23"/>
          <w:szCs w:val="23"/>
        </w:rPr>
      </w:pPr>
      <w:r>
        <w:rPr>
          <w:color w:val="1F2328"/>
          <w:sz w:val="23"/>
          <w:szCs w:val="23"/>
        </w:rPr>
        <w:t>Detects partitions and filesystems</w:t>
      </w:r>
    </w:p>
    <w:p w14:paraId="1717552D">
      <w:pPr>
        <w:pStyle w:val="16"/>
        <w:numPr>
          <w:ilvl w:val="0"/>
          <w:numId w:val="1"/>
        </w:numPr>
        <w:spacing w:after="40" w:line="276" w:lineRule="auto"/>
        <w:rPr>
          <w:sz w:val="23"/>
          <w:szCs w:val="23"/>
        </w:rPr>
      </w:pPr>
      <w:r>
        <w:rPr>
          <w:color w:val="1F2328"/>
          <w:sz w:val="23"/>
          <w:szCs w:val="23"/>
        </w:rPr>
        <w:t>Extracts forensic metadata</w:t>
      </w:r>
    </w:p>
    <w:p w14:paraId="42FC22C5">
      <w:pPr>
        <w:pStyle w:val="16"/>
        <w:numPr>
          <w:ilvl w:val="0"/>
          <w:numId w:val="1"/>
        </w:numPr>
        <w:spacing w:after="40" w:line="276" w:lineRule="auto"/>
        <w:rPr>
          <w:sz w:val="23"/>
          <w:szCs w:val="23"/>
        </w:rPr>
      </w:pPr>
      <w:r>
        <w:rPr>
          <w:color w:val="1F2328"/>
          <w:sz w:val="23"/>
          <w:szCs w:val="23"/>
        </w:rPr>
        <w:t>Generates timelines</w:t>
      </w:r>
    </w:p>
    <w:p w14:paraId="60E5E867">
      <w:pPr>
        <w:pStyle w:val="16"/>
        <w:numPr>
          <w:ilvl w:val="0"/>
          <w:numId w:val="1"/>
        </w:numPr>
        <w:spacing w:after="40" w:line="276" w:lineRule="auto"/>
        <w:rPr>
          <w:sz w:val="23"/>
          <w:szCs w:val="23"/>
        </w:rPr>
      </w:pPr>
      <w:r>
        <w:rPr>
          <w:color w:val="1F2328"/>
          <w:sz w:val="23"/>
          <w:szCs w:val="23"/>
        </w:rPr>
        <w:t>Identifies attacker tooling</w:t>
      </w:r>
    </w:p>
    <w:p w14:paraId="3AEB68E3">
      <w:pPr>
        <w:pStyle w:val="16"/>
        <w:numPr>
          <w:ilvl w:val="0"/>
          <w:numId w:val="1"/>
        </w:numPr>
        <w:spacing w:after="40" w:line="276" w:lineRule="auto"/>
        <w:rPr>
          <w:sz w:val="23"/>
          <w:szCs w:val="23"/>
        </w:rPr>
      </w:pPr>
      <w:r>
        <w:rPr>
          <w:color w:val="1F2328"/>
          <w:sz w:val="23"/>
          <w:szCs w:val="23"/>
        </w:rPr>
        <w:t>Detects credential-theft activity</w:t>
      </w:r>
    </w:p>
    <w:p w14:paraId="4E0E2264">
      <w:pPr>
        <w:pStyle w:val="16"/>
        <w:numPr>
          <w:ilvl w:val="0"/>
          <w:numId w:val="1"/>
        </w:numPr>
        <w:spacing w:after="40" w:line="276" w:lineRule="auto"/>
        <w:rPr>
          <w:sz w:val="23"/>
          <w:szCs w:val="23"/>
        </w:rPr>
      </w:pPr>
      <w:r>
        <w:rPr>
          <w:color w:val="1F2328"/>
          <w:sz w:val="23"/>
          <w:szCs w:val="23"/>
        </w:rPr>
        <w:t>Detects anti-forensics behavior</w:t>
      </w:r>
    </w:p>
    <w:p w14:paraId="40429F2C">
      <w:pPr>
        <w:pStyle w:val="16"/>
        <w:numPr>
          <w:ilvl w:val="0"/>
          <w:numId w:val="1"/>
        </w:numPr>
        <w:spacing w:after="40" w:line="276" w:lineRule="auto"/>
        <w:rPr>
          <w:sz w:val="23"/>
          <w:szCs w:val="23"/>
        </w:rPr>
      </w:pPr>
      <w:r>
        <w:rPr>
          <w:color w:val="1F2328"/>
          <w:sz w:val="23"/>
          <w:szCs w:val="23"/>
        </w:rPr>
        <w:t>Identifies data-exfiltration attempts</w:t>
      </w:r>
    </w:p>
    <w:p w14:paraId="2D702230">
      <w:pPr>
        <w:pStyle w:val="16"/>
        <w:numPr>
          <w:ilvl w:val="0"/>
          <w:numId w:val="1"/>
        </w:numPr>
        <w:spacing w:after="40" w:line="276" w:lineRule="auto"/>
        <w:rPr>
          <w:sz w:val="23"/>
          <w:szCs w:val="23"/>
        </w:rPr>
      </w:pPr>
      <w:r>
        <w:rPr>
          <w:color w:val="1F2328"/>
          <w:sz w:val="23"/>
          <w:szCs w:val="23"/>
        </w:rPr>
        <w:t>Parses email evidence</w:t>
      </w:r>
    </w:p>
    <w:p w14:paraId="4D4E927D">
      <w:pPr>
        <w:pStyle w:val="16"/>
        <w:numPr>
          <w:ilvl w:val="0"/>
          <w:numId w:val="1"/>
        </w:numPr>
        <w:spacing w:after="40" w:line="276" w:lineRule="auto"/>
        <w:rPr>
          <w:sz w:val="23"/>
          <w:szCs w:val="23"/>
        </w:rPr>
      </w:pPr>
      <w:r>
        <w:rPr>
          <w:color w:val="1F2328"/>
          <w:sz w:val="23"/>
          <w:szCs w:val="23"/>
        </w:rPr>
        <w:t>Correlates artifacts across multiple evidence sources</w:t>
      </w:r>
    </w:p>
    <w:p w14:paraId="6A864233">
      <w:pPr>
        <w:pStyle w:val="16"/>
        <w:numPr>
          <w:ilvl w:val="0"/>
          <w:numId w:val="1"/>
        </w:numPr>
        <w:spacing w:after="40" w:line="276" w:lineRule="auto"/>
        <w:rPr>
          <w:sz w:val="23"/>
          <w:szCs w:val="23"/>
        </w:rPr>
      </w:pPr>
      <w:r>
        <w:rPr>
          <w:color w:val="1F2328"/>
          <w:sz w:val="23"/>
          <w:szCs w:val="23"/>
        </w:rPr>
        <w:t>Self-classifies the investigation type</w:t>
      </w:r>
    </w:p>
    <w:p w14:paraId="0C182918">
      <w:pPr>
        <w:pStyle w:val="16"/>
        <w:numPr>
          <w:ilvl w:val="0"/>
          <w:numId w:val="1"/>
        </w:numPr>
        <w:spacing w:after="40" w:line="276" w:lineRule="auto"/>
        <w:rPr>
          <w:sz w:val="23"/>
          <w:szCs w:val="23"/>
        </w:rPr>
      </w:pPr>
      <w:r>
        <w:rPr>
          <w:color w:val="1F2328"/>
          <w:sz w:val="23"/>
          <w:szCs w:val="23"/>
        </w:rPr>
        <w:t>Produces a severity-ranked forensic report</w:t>
      </w:r>
    </w:p>
    <w:p w14:paraId="0FAAE33D">
      <w:pPr>
        <w:pStyle w:val="16"/>
        <w:numPr>
          <w:ilvl w:val="0"/>
          <w:numId w:val="1"/>
        </w:numPr>
        <w:spacing w:after="40" w:line="276" w:lineRule="auto"/>
        <w:rPr>
          <w:sz w:val="23"/>
          <w:szCs w:val="23"/>
        </w:rPr>
      </w:pPr>
      <w:r>
        <w:rPr>
          <w:color w:val="1F2328"/>
          <w:sz w:val="23"/>
          <w:szCs w:val="23"/>
        </w:rPr>
        <w:t>Preserves evidence integrity through a read-only architecture</w:t>
      </w:r>
    </w:p>
    <w:p w14:paraId="4297B7DC">
      <w:pPr>
        <w:spacing w:after="80"/>
        <w:rPr>
          <w:sz w:val="23"/>
          <w:szCs w:val="23"/>
        </w:rPr>
      </w:pPr>
    </w:p>
    <w:p w14:paraId="324155D5">
      <w:pPr>
        <w:spacing w:after="140" w:line="288" w:lineRule="auto"/>
        <w:rPr>
          <w:color w:val="1F2328"/>
          <w:sz w:val="23"/>
          <w:szCs w:val="23"/>
        </w:rPr>
      </w:pPr>
      <w:r>
        <w:rPr>
          <w:color w:val="1F2328"/>
          <w:sz w:val="23"/>
          <w:szCs w:val="23"/>
        </w:rPr>
        <w:t>Unlike traditional forensic automation scripts that follow a fixed path, our agent dynamically determines whether the case is an Intrusion, Insider Threat, Data Exfiltration, Social Engineering, or Malware Investigation — and changes its reasoning workflow accordingly.</w:t>
      </w:r>
    </w:p>
    <w:p w14:paraId="769E4374">
      <w:pPr>
        <w:spacing w:after="140" w:line="288" w:lineRule="auto"/>
        <w:rPr>
          <w:color w:val="1F2328"/>
          <w:sz w:val="23"/>
          <w:szCs w:val="23"/>
        </w:rPr>
      </w:pPr>
    </w:p>
    <w:p w14:paraId="19B0EA9C">
      <w:pPr>
        <w:spacing w:after="140" w:line="288" w:lineRule="auto"/>
        <w:rPr>
          <w:color w:val="1F2328"/>
          <w:sz w:val="23"/>
          <w:szCs w:val="23"/>
        </w:rPr>
      </w:pPr>
    </w:p>
    <w:p w14:paraId="455DDD49">
      <w:pPr>
        <w:spacing w:before="320" w:after="20"/>
        <w:rPr>
          <w:sz w:val="22"/>
          <w:szCs w:val="22"/>
        </w:rPr>
      </w:pPr>
      <w:r>
        <w:rPr>
          <w:b/>
          <w:bCs/>
          <w:color w:val="1D9E75"/>
          <w:spacing w:val="30"/>
          <w:sz w:val="22"/>
          <w:szCs w:val="22"/>
        </w:rPr>
        <w:t>ARCHITECTURE</w:t>
      </w:r>
    </w:p>
    <w:p w14:paraId="75F78FE0">
      <w:pPr>
        <w:pStyle w:val="2"/>
        <w:pBdr>
          <w:bottom w:val="single" w:color="1D9E75" w:sz="18" w:space="6"/>
        </w:pBdr>
        <w:spacing w:before="0" w:after="160"/>
      </w:pPr>
      <w:r>
        <w:rPr>
          <w:b/>
          <w:bCs/>
          <w:color w:val="0B3D62"/>
          <w:sz w:val="30"/>
          <w:szCs w:val="30"/>
        </w:rPr>
        <w:t>How We Built It</w:t>
      </w:r>
    </w:p>
    <w:p w14:paraId="614DBA86">
      <w:pPr>
        <w:spacing w:after="140" w:line="288" w:lineRule="auto"/>
        <w:rPr>
          <w:sz w:val="23"/>
          <w:szCs w:val="23"/>
        </w:rPr>
      </w:pPr>
      <w:r>
        <w:rPr>
          <w:color w:val="1F2328"/>
          <w:sz w:val="23"/>
          <w:szCs w:val="23"/>
        </w:rPr>
        <w:t>Our solution consists of three primary components.</w:t>
      </w:r>
    </w:p>
    <w:p w14:paraId="58BFEBB2">
      <w:pPr>
        <w:pStyle w:val="3"/>
        <w:spacing w:before="240" w:after="100"/>
        <w:rPr>
          <w:sz w:val="23"/>
          <w:szCs w:val="23"/>
        </w:rPr>
      </w:pPr>
      <w:r>
        <w:rPr>
          <w:b/>
          <w:bCs/>
          <w:color w:val="0B5394"/>
          <w:sz w:val="23"/>
          <w:szCs w:val="23"/>
        </w:rPr>
        <w:t>1.  Autonomous DFIR Agent</w:t>
      </w:r>
    </w:p>
    <w:p w14:paraId="0DB68632">
      <w:pPr>
        <w:spacing w:after="120" w:line="288" w:lineRule="auto"/>
        <w:rPr>
          <w:sz w:val="23"/>
          <w:szCs w:val="23"/>
        </w:rPr>
      </w:pPr>
      <w:r>
        <w:rPr>
          <w:color w:val="1F2328"/>
          <w:sz w:val="23"/>
          <w:szCs w:val="23"/>
        </w:rPr>
        <w:t xml:space="preserve">The core reasoning engine runs through Claude Code. We created a highly constrained DFIR operating procedure in </w:t>
      </w:r>
      <w:r>
        <w:rPr>
          <w:b/>
          <w:bCs/>
          <w:color w:val="0B3D62"/>
          <w:sz w:val="23"/>
          <w:szCs w:val="23"/>
        </w:rPr>
        <w:t>CLAUDE.md</w:t>
      </w:r>
      <w:r>
        <w:rPr>
          <w:color w:val="1F2328"/>
          <w:sz w:val="23"/>
          <w:szCs w:val="23"/>
        </w:rPr>
        <w:t xml:space="preserve"> that acts as the agent’s forensic playbook. The agent is instructed to:</w:t>
      </w:r>
    </w:p>
    <w:p w14:paraId="1519E549">
      <w:pPr>
        <w:pStyle w:val="16"/>
        <w:numPr>
          <w:ilvl w:val="0"/>
          <w:numId w:val="1"/>
        </w:numPr>
        <w:spacing w:after="40" w:line="276" w:lineRule="auto"/>
        <w:rPr>
          <w:sz w:val="23"/>
          <w:szCs w:val="23"/>
        </w:rPr>
      </w:pPr>
      <w:r>
        <w:rPr>
          <w:color w:val="1F2328"/>
          <w:sz w:val="23"/>
          <w:szCs w:val="23"/>
        </w:rPr>
        <w:t>Collect evidence only once</w:t>
      </w:r>
    </w:p>
    <w:p w14:paraId="75395D6B">
      <w:pPr>
        <w:pStyle w:val="16"/>
        <w:numPr>
          <w:ilvl w:val="0"/>
          <w:numId w:val="1"/>
        </w:numPr>
        <w:spacing w:after="40" w:line="276" w:lineRule="auto"/>
        <w:rPr>
          <w:sz w:val="23"/>
          <w:szCs w:val="23"/>
        </w:rPr>
      </w:pPr>
      <w:r>
        <w:rPr>
          <w:color w:val="1F2328"/>
          <w:sz w:val="23"/>
          <w:szCs w:val="23"/>
        </w:rPr>
        <w:t>Avoid redundant tool executions</w:t>
      </w:r>
    </w:p>
    <w:p w14:paraId="6F3D08A3">
      <w:pPr>
        <w:pStyle w:val="16"/>
        <w:numPr>
          <w:ilvl w:val="0"/>
          <w:numId w:val="1"/>
        </w:numPr>
        <w:spacing w:after="40" w:line="276" w:lineRule="auto"/>
        <w:rPr>
          <w:sz w:val="23"/>
          <w:szCs w:val="23"/>
        </w:rPr>
      </w:pPr>
      <w:r>
        <w:rPr>
          <w:color w:val="1F2328"/>
          <w:sz w:val="23"/>
          <w:szCs w:val="23"/>
        </w:rPr>
        <w:t>Remain evidence-driven</w:t>
      </w:r>
    </w:p>
    <w:p w14:paraId="2F05FE09">
      <w:pPr>
        <w:pStyle w:val="16"/>
        <w:numPr>
          <w:ilvl w:val="0"/>
          <w:numId w:val="1"/>
        </w:numPr>
        <w:spacing w:after="40" w:line="276" w:lineRule="auto"/>
        <w:rPr>
          <w:sz w:val="23"/>
          <w:szCs w:val="23"/>
        </w:rPr>
      </w:pPr>
      <w:r>
        <w:rPr>
          <w:color w:val="1F2328"/>
          <w:sz w:val="23"/>
          <w:szCs w:val="23"/>
        </w:rPr>
        <w:t>Avoid hallucinations</w:t>
      </w:r>
    </w:p>
    <w:p w14:paraId="3A9669EC">
      <w:pPr>
        <w:pStyle w:val="16"/>
        <w:numPr>
          <w:ilvl w:val="0"/>
          <w:numId w:val="1"/>
        </w:numPr>
        <w:spacing w:after="40" w:line="276" w:lineRule="auto"/>
        <w:rPr>
          <w:sz w:val="23"/>
          <w:szCs w:val="23"/>
        </w:rPr>
      </w:pPr>
      <w:r>
        <w:rPr>
          <w:color w:val="1F2328"/>
          <w:sz w:val="23"/>
          <w:szCs w:val="23"/>
        </w:rPr>
        <w:t>Cite artifacts for every finding</w:t>
      </w:r>
    </w:p>
    <w:p w14:paraId="3B082400">
      <w:pPr>
        <w:pStyle w:val="16"/>
        <w:numPr>
          <w:ilvl w:val="0"/>
          <w:numId w:val="1"/>
        </w:numPr>
        <w:spacing w:after="40" w:line="276" w:lineRule="auto"/>
        <w:rPr>
          <w:sz w:val="23"/>
          <w:szCs w:val="23"/>
        </w:rPr>
      </w:pPr>
      <w:r>
        <w:rPr>
          <w:color w:val="1F2328"/>
          <w:sz w:val="23"/>
          <w:szCs w:val="23"/>
        </w:rPr>
        <w:t>Distinguish evidence confidence levels</w:t>
      </w:r>
    </w:p>
    <w:p w14:paraId="5E21C717">
      <w:pPr>
        <w:spacing w:after="80"/>
        <w:rPr>
          <w:sz w:val="23"/>
          <w:szCs w:val="23"/>
        </w:rPr>
      </w:pPr>
    </w:p>
    <w:p w14:paraId="5B08ECF2">
      <w:pPr>
        <w:spacing w:after="140" w:line="288" w:lineRule="auto"/>
        <w:rPr>
          <w:sz w:val="23"/>
          <w:szCs w:val="23"/>
        </w:rPr>
      </w:pPr>
      <w:r>
        <w:rPr>
          <w:color w:val="1F2328"/>
          <w:sz w:val="23"/>
          <w:szCs w:val="23"/>
        </w:rPr>
        <w:t>The prompt effectively teaches the model to behave like a senior incident responder, and explicitly forbids it from making any claim that is not supported by evidence.</w:t>
      </w:r>
    </w:p>
    <w:p w14:paraId="308108D3">
      <w:pPr>
        <w:pStyle w:val="3"/>
        <w:spacing w:before="240" w:after="100"/>
        <w:rPr>
          <w:sz w:val="23"/>
          <w:szCs w:val="23"/>
        </w:rPr>
      </w:pPr>
      <w:r>
        <w:rPr>
          <w:b/>
          <w:bCs/>
          <w:color w:val="0B5394"/>
          <w:sz w:val="23"/>
          <w:szCs w:val="23"/>
        </w:rPr>
        <w:t>2.  Read-Only Evidence Collection Layer</w:t>
      </w:r>
    </w:p>
    <w:p w14:paraId="5EB7DA4D">
      <w:pPr>
        <w:spacing w:after="120" w:line="288" w:lineRule="auto"/>
        <w:rPr>
          <w:sz w:val="23"/>
          <w:szCs w:val="23"/>
        </w:rPr>
      </w:pPr>
      <w:r>
        <w:rPr>
          <w:color w:val="1F2328"/>
          <w:sz w:val="23"/>
          <w:szCs w:val="23"/>
        </w:rPr>
        <w:t xml:space="preserve">The second component is </w:t>
      </w:r>
      <w:r>
        <w:rPr>
          <w:b/>
          <w:bCs/>
          <w:color w:val="0B3D62"/>
          <w:sz w:val="23"/>
          <w:szCs w:val="23"/>
        </w:rPr>
        <w:t>collect.sh</w:t>
      </w:r>
      <w:r>
        <w:rPr>
          <w:color w:val="1F2328"/>
          <w:sz w:val="23"/>
          <w:szCs w:val="23"/>
        </w:rPr>
        <w:t>, a forensic acquisition layer that automatically gathers a compact evidence bundle the LLM can analyze efficiently — without repeatedly touching the original image.</w:t>
      </w:r>
    </w:p>
    <w:p w14:paraId="46E2853A">
      <w:pPr>
        <w:spacing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4F0DE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D0D7DE" w:sz="4" w:space="0"/>
              <w:left w:val="single" w:color="D0D7DE" w:sz="4" w:space="0"/>
              <w:bottom w:val="single" w:color="D0D7DE" w:sz="4" w:space="0"/>
              <w:right w:val="single" w:color="D0D7DE" w:sz="4" w:space="0"/>
            </w:tcBorders>
            <w:shd w:val="clear" w:color="auto" w:fill="0B3D62"/>
            <w:tcMar>
              <w:top w:w="70" w:type="dxa"/>
              <w:left w:w="130" w:type="dxa"/>
              <w:bottom w:w="70" w:type="dxa"/>
              <w:right w:w="130" w:type="dxa"/>
            </w:tcMar>
            <w:vAlign w:val="center"/>
          </w:tcPr>
          <w:p w14:paraId="1BCD45F2">
            <w:pPr>
              <w:spacing w:after="0" w:line="264" w:lineRule="auto"/>
            </w:pPr>
            <w:r>
              <w:rPr>
                <w:b/>
                <w:bCs/>
                <w:color w:val="FFFFFF"/>
                <w:sz w:val="20"/>
                <w:szCs w:val="20"/>
              </w:rPr>
              <w:t>Stage</w:t>
            </w:r>
          </w:p>
        </w:tc>
        <w:tc>
          <w:tcPr>
            <w:tcW w:w="6360" w:type="dxa"/>
            <w:tcBorders>
              <w:top w:val="single" w:color="D0D7DE" w:sz="4" w:space="0"/>
              <w:left w:val="single" w:color="D0D7DE" w:sz="4" w:space="0"/>
              <w:bottom w:val="single" w:color="D0D7DE" w:sz="4" w:space="0"/>
              <w:right w:val="single" w:color="D0D7DE" w:sz="4" w:space="0"/>
            </w:tcBorders>
            <w:shd w:val="clear" w:color="auto" w:fill="0B3D62"/>
            <w:tcMar>
              <w:top w:w="70" w:type="dxa"/>
              <w:left w:w="130" w:type="dxa"/>
              <w:bottom w:w="70" w:type="dxa"/>
              <w:right w:w="130" w:type="dxa"/>
            </w:tcMar>
            <w:vAlign w:val="center"/>
          </w:tcPr>
          <w:p w14:paraId="3123B017">
            <w:pPr>
              <w:spacing w:after="0" w:line="264" w:lineRule="auto"/>
            </w:pPr>
            <w:r>
              <w:rPr>
                <w:b/>
                <w:bCs/>
                <w:color w:val="FFFFFF"/>
                <w:sz w:val="20"/>
                <w:szCs w:val="20"/>
              </w:rPr>
              <w:t>What it collects</w:t>
            </w:r>
          </w:p>
        </w:tc>
      </w:tr>
      <w:tr w14:paraId="103C9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0D7DE" w:sz="4" w:space="0"/>
              <w:left w:val="single" w:color="D0D7DE" w:sz="4" w:space="0"/>
              <w:bottom w:val="single" w:color="D0D7DE" w:sz="4" w:space="0"/>
              <w:right w:val="single" w:color="D0D7DE" w:sz="4" w:space="0"/>
            </w:tcBorders>
            <w:shd w:val="clear" w:color="auto" w:fill="E1F5EE"/>
            <w:tcMar>
              <w:top w:w="70" w:type="dxa"/>
              <w:left w:w="130" w:type="dxa"/>
              <w:bottom w:w="70" w:type="dxa"/>
              <w:right w:w="130" w:type="dxa"/>
            </w:tcMar>
            <w:vAlign w:val="center"/>
          </w:tcPr>
          <w:p w14:paraId="54622CA7">
            <w:pPr>
              <w:spacing w:after="0" w:line="264" w:lineRule="auto"/>
            </w:pPr>
            <w:r>
              <w:rPr>
                <w:b w:val="0"/>
                <w:bCs w:val="0"/>
                <w:color w:val="1F2328"/>
                <w:sz w:val="20"/>
                <w:szCs w:val="20"/>
              </w:rPr>
              <w:t>Filesystem metadata</w:t>
            </w:r>
          </w:p>
        </w:tc>
        <w:tc>
          <w:tcPr>
            <w:tcW w:w="6360" w:type="dxa"/>
            <w:tcBorders>
              <w:top w:val="single" w:color="D0D7DE" w:sz="4" w:space="0"/>
              <w:left w:val="single" w:color="D0D7DE" w:sz="4" w:space="0"/>
              <w:bottom w:val="single" w:color="D0D7DE" w:sz="4" w:space="0"/>
              <w:right w:val="single" w:color="D0D7DE" w:sz="4" w:space="0"/>
            </w:tcBorders>
            <w:tcMar>
              <w:top w:w="70" w:type="dxa"/>
              <w:left w:w="130" w:type="dxa"/>
              <w:bottom w:w="70" w:type="dxa"/>
              <w:right w:w="130" w:type="dxa"/>
            </w:tcMar>
            <w:vAlign w:val="center"/>
          </w:tcPr>
          <w:p w14:paraId="49A6B2AA">
            <w:pPr>
              <w:spacing w:after="0" w:line="264" w:lineRule="auto"/>
            </w:pPr>
            <w:r>
              <w:rPr>
                <w:b w:val="0"/>
                <w:bCs w:val="0"/>
                <w:color w:val="1F2328"/>
                <w:sz w:val="20"/>
                <w:szCs w:val="20"/>
              </w:rPr>
              <w:t>mmls, fsstat</w:t>
            </w:r>
          </w:p>
        </w:tc>
      </w:tr>
      <w:tr w14:paraId="24852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0D7DE" w:sz="4" w:space="0"/>
              <w:left w:val="single" w:color="D0D7DE" w:sz="4" w:space="0"/>
              <w:bottom w:val="single" w:color="D0D7DE" w:sz="4" w:space="0"/>
              <w:right w:val="single" w:color="D0D7DE" w:sz="4" w:space="0"/>
            </w:tcBorders>
            <w:shd w:val="clear" w:color="auto" w:fill="E1F5EE"/>
            <w:tcMar>
              <w:top w:w="70" w:type="dxa"/>
              <w:left w:w="130" w:type="dxa"/>
              <w:bottom w:w="70" w:type="dxa"/>
              <w:right w:w="130" w:type="dxa"/>
            </w:tcMar>
            <w:vAlign w:val="center"/>
          </w:tcPr>
          <w:p w14:paraId="6C40CE0C">
            <w:pPr>
              <w:spacing w:after="0" w:line="264" w:lineRule="auto"/>
            </w:pPr>
            <w:r>
              <w:rPr>
                <w:b w:val="0"/>
                <w:bCs w:val="0"/>
                <w:color w:val="1F2328"/>
                <w:sz w:val="20"/>
                <w:szCs w:val="20"/>
              </w:rPr>
              <w:t>File enumeration</w:t>
            </w:r>
          </w:p>
        </w:tc>
        <w:tc>
          <w:tcPr>
            <w:tcW w:w="6360" w:type="dxa"/>
            <w:tcBorders>
              <w:top w:val="single" w:color="D0D7DE" w:sz="4" w:space="0"/>
              <w:left w:val="single" w:color="D0D7DE" w:sz="4" w:space="0"/>
              <w:bottom w:val="single" w:color="D0D7DE" w:sz="4" w:space="0"/>
              <w:right w:val="single" w:color="D0D7DE" w:sz="4" w:space="0"/>
            </w:tcBorders>
            <w:tcMar>
              <w:top w:w="70" w:type="dxa"/>
              <w:left w:w="130" w:type="dxa"/>
              <w:bottom w:w="70" w:type="dxa"/>
              <w:right w:w="130" w:type="dxa"/>
            </w:tcMar>
            <w:vAlign w:val="center"/>
          </w:tcPr>
          <w:p w14:paraId="01DB5405">
            <w:pPr>
              <w:spacing w:after="0" w:line="264" w:lineRule="auto"/>
            </w:pPr>
            <w:r>
              <w:rPr>
                <w:b w:val="0"/>
                <w:bCs w:val="0"/>
                <w:color w:val="1F2328"/>
                <w:sz w:val="20"/>
                <w:szCs w:val="20"/>
              </w:rPr>
              <w:t>fls</w:t>
            </w:r>
          </w:p>
        </w:tc>
      </w:tr>
      <w:tr w14:paraId="2E949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0D7DE" w:sz="4" w:space="0"/>
              <w:left w:val="single" w:color="D0D7DE" w:sz="4" w:space="0"/>
              <w:bottom w:val="single" w:color="D0D7DE" w:sz="4" w:space="0"/>
              <w:right w:val="single" w:color="D0D7DE" w:sz="4" w:space="0"/>
            </w:tcBorders>
            <w:shd w:val="clear" w:color="auto" w:fill="E1F5EE"/>
            <w:tcMar>
              <w:top w:w="70" w:type="dxa"/>
              <w:left w:w="130" w:type="dxa"/>
              <w:bottom w:w="70" w:type="dxa"/>
              <w:right w:w="130" w:type="dxa"/>
            </w:tcMar>
            <w:vAlign w:val="center"/>
          </w:tcPr>
          <w:p w14:paraId="0AAFDEB9">
            <w:pPr>
              <w:spacing w:after="0" w:line="264" w:lineRule="auto"/>
            </w:pPr>
            <w:r>
              <w:rPr>
                <w:b w:val="0"/>
                <w:bCs w:val="0"/>
                <w:color w:val="1F2328"/>
                <w:sz w:val="20"/>
                <w:szCs w:val="20"/>
              </w:rPr>
              <w:t>Timeline creation</w:t>
            </w:r>
          </w:p>
        </w:tc>
        <w:tc>
          <w:tcPr>
            <w:tcW w:w="6360" w:type="dxa"/>
            <w:tcBorders>
              <w:top w:val="single" w:color="D0D7DE" w:sz="4" w:space="0"/>
              <w:left w:val="single" w:color="D0D7DE" w:sz="4" w:space="0"/>
              <w:bottom w:val="single" w:color="D0D7DE" w:sz="4" w:space="0"/>
              <w:right w:val="single" w:color="D0D7DE" w:sz="4" w:space="0"/>
            </w:tcBorders>
            <w:tcMar>
              <w:top w:w="70" w:type="dxa"/>
              <w:left w:w="130" w:type="dxa"/>
              <w:bottom w:w="70" w:type="dxa"/>
              <w:right w:w="130" w:type="dxa"/>
            </w:tcMar>
            <w:vAlign w:val="center"/>
          </w:tcPr>
          <w:p w14:paraId="1C431EAA">
            <w:pPr>
              <w:spacing w:after="0" w:line="264" w:lineRule="auto"/>
            </w:pPr>
            <w:r>
              <w:rPr>
                <w:b w:val="0"/>
                <w:bCs w:val="0"/>
                <w:color w:val="1F2328"/>
                <w:sz w:val="20"/>
                <w:szCs w:val="20"/>
              </w:rPr>
              <w:t>mactime</w:t>
            </w:r>
          </w:p>
        </w:tc>
      </w:tr>
      <w:tr w14:paraId="368C3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0D7DE" w:sz="4" w:space="0"/>
              <w:left w:val="single" w:color="D0D7DE" w:sz="4" w:space="0"/>
              <w:bottom w:val="single" w:color="D0D7DE" w:sz="4" w:space="0"/>
              <w:right w:val="single" w:color="D0D7DE" w:sz="4" w:space="0"/>
            </w:tcBorders>
            <w:shd w:val="clear" w:color="auto" w:fill="E1F5EE"/>
            <w:tcMar>
              <w:top w:w="70" w:type="dxa"/>
              <w:left w:w="130" w:type="dxa"/>
              <w:bottom w:w="70" w:type="dxa"/>
              <w:right w:w="130" w:type="dxa"/>
            </w:tcMar>
            <w:vAlign w:val="center"/>
          </w:tcPr>
          <w:p w14:paraId="719AFBF6">
            <w:pPr>
              <w:spacing w:after="0" w:line="264" w:lineRule="auto"/>
            </w:pPr>
            <w:r>
              <w:rPr>
                <w:b w:val="0"/>
                <w:bCs w:val="0"/>
                <w:color w:val="1F2328"/>
                <w:sz w:val="20"/>
                <w:szCs w:val="20"/>
              </w:rPr>
              <w:t>Prefetch analysis</w:t>
            </w:r>
          </w:p>
        </w:tc>
        <w:tc>
          <w:tcPr>
            <w:tcW w:w="6360" w:type="dxa"/>
            <w:tcBorders>
              <w:top w:val="single" w:color="D0D7DE" w:sz="4" w:space="0"/>
              <w:left w:val="single" w:color="D0D7DE" w:sz="4" w:space="0"/>
              <w:bottom w:val="single" w:color="D0D7DE" w:sz="4" w:space="0"/>
              <w:right w:val="single" w:color="D0D7DE" w:sz="4" w:space="0"/>
            </w:tcBorders>
            <w:tcMar>
              <w:top w:w="70" w:type="dxa"/>
              <w:left w:w="130" w:type="dxa"/>
              <w:bottom w:w="70" w:type="dxa"/>
              <w:right w:w="130" w:type="dxa"/>
            </w:tcMar>
            <w:vAlign w:val="center"/>
          </w:tcPr>
          <w:p w14:paraId="0280058F">
            <w:pPr>
              <w:spacing w:after="0" w:line="264" w:lineRule="auto"/>
            </w:pPr>
            <w:r>
              <w:rPr>
                <w:b w:val="0"/>
                <w:bCs w:val="0"/>
                <w:color w:val="1F2328"/>
                <w:sz w:val="20"/>
                <w:szCs w:val="20"/>
              </w:rPr>
              <w:t>execution evidence</w:t>
            </w:r>
          </w:p>
        </w:tc>
      </w:tr>
      <w:tr w14:paraId="3387F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0D7DE" w:sz="4" w:space="0"/>
              <w:left w:val="single" w:color="D0D7DE" w:sz="4" w:space="0"/>
              <w:bottom w:val="single" w:color="D0D7DE" w:sz="4" w:space="0"/>
              <w:right w:val="single" w:color="D0D7DE" w:sz="4" w:space="0"/>
            </w:tcBorders>
            <w:shd w:val="clear" w:color="auto" w:fill="E1F5EE"/>
            <w:tcMar>
              <w:top w:w="70" w:type="dxa"/>
              <w:left w:w="130" w:type="dxa"/>
              <w:bottom w:w="70" w:type="dxa"/>
              <w:right w:w="130" w:type="dxa"/>
            </w:tcMar>
            <w:vAlign w:val="center"/>
          </w:tcPr>
          <w:p w14:paraId="02AB6601">
            <w:pPr>
              <w:spacing w:after="0" w:line="264" w:lineRule="auto"/>
            </w:pPr>
            <w:r>
              <w:rPr>
                <w:b w:val="0"/>
                <w:bCs w:val="0"/>
                <w:color w:val="1F2328"/>
                <w:sz w:val="20"/>
                <w:szCs w:val="20"/>
              </w:rPr>
              <w:t>Recycle Bin analysis</w:t>
            </w:r>
          </w:p>
        </w:tc>
        <w:tc>
          <w:tcPr>
            <w:tcW w:w="6360" w:type="dxa"/>
            <w:tcBorders>
              <w:top w:val="single" w:color="D0D7DE" w:sz="4" w:space="0"/>
              <w:left w:val="single" w:color="D0D7DE" w:sz="4" w:space="0"/>
              <w:bottom w:val="single" w:color="D0D7DE" w:sz="4" w:space="0"/>
              <w:right w:val="single" w:color="D0D7DE" w:sz="4" w:space="0"/>
            </w:tcBorders>
            <w:tcMar>
              <w:top w:w="70" w:type="dxa"/>
              <w:left w:w="130" w:type="dxa"/>
              <w:bottom w:w="70" w:type="dxa"/>
              <w:right w:w="130" w:type="dxa"/>
            </w:tcMar>
            <w:vAlign w:val="center"/>
          </w:tcPr>
          <w:p w14:paraId="63594632">
            <w:pPr>
              <w:spacing w:after="0" w:line="264" w:lineRule="auto"/>
            </w:pPr>
            <w:r>
              <w:rPr>
                <w:b w:val="0"/>
                <w:bCs w:val="0"/>
                <w:color w:val="1F2328"/>
                <w:sz w:val="20"/>
                <w:szCs w:val="20"/>
              </w:rPr>
              <w:t>deleted attacker tools</w:t>
            </w:r>
          </w:p>
        </w:tc>
      </w:tr>
      <w:tr w14:paraId="6EC19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0D7DE" w:sz="4" w:space="0"/>
              <w:left w:val="single" w:color="D0D7DE" w:sz="4" w:space="0"/>
              <w:bottom w:val="single" w:color="D0D7DE" w:sz="4" w:space="0"/>
              <w:right w:val="single" w:color="D0D7DE" w:sz="4" w:space="0"/>
            </w:tcBorders>
            <w:shd w:val="clear" w:color="auto" w:fill="E1F5EE"/>
            <w:tcMar>
              <w:top w:w="70" w:type="dxa"/>
              <w:left w:w="130" w:type="dxa"/>
              <w:bottom w:w="70" w:type="dxa"/>
              <w:right w:w="130" w:type="dxa"/>
            </w:tcMar>
            <w:vAlign w:val="center"/>
          </w:tcPr>
          <w:p w14:paraId="64E04B27">
            <w:pPr>
              <w:spacing w:after="0" w:line="264" w:lineRule="auto"/>
            </w:pPr>
            <w:r>
              <w:rPr>
                <w:b w:val="0"/>
                <w:bCs w:val="0"/>
                <w:color w:val="1F2328"/>
                <w:sz w:val="20"/>
                <w:szCs w:val="20"/>
              </w:rPr>
              <w:t>Email extraction</w:t>
            </w:r>
          </w:p>
        </w:tc>
        <w:tc>
          <w:tcPr>
            <w:tcW w:w="6360" w:type="dxa"/>
            <w:tcBorders>
              <w:top w:val="single" w:color="D0D7DE" w:sz="4" w:space="0"/>
              <w:left w:val="single" w:color="D0D7DE" w:sz="4" w:space="0"/>
              <w:bottom w:val="single" w:color="D0D7DE" w:sz="4" w:space="0"/>
              <w:right w:val="single" w:color="D0D7DE" w:sz="4" w:space="0"/>
            </w:tcBorders>
            <w:tcMar>
              <w:top w:w="70" w:type="dxa"/>
              <w:left w:w="130" w:type="dxa"/>
              <w:bottom w:w="70" w:type="dxa"/>
              <w:right w:w="130" w:type="dxa"/>
            </w:tcMar>
            <w:vAlign w:val="center"/>
          </w:tcPr>
          <w:p w14:paraId="11DAA658">
            <w:pPr>
              <w:spacing w:after="0" w:line="264" w:lineRule="auto"/>
            </w:pPr>
            <w:r>
              <w:rPr>
                <w:b w:val="0"/>
                <w:bCs w:val="0"/>
                <w:color w:val="1F2328"/>
                <w:sz w:val="20"/>
                <w:szCs w:val="20"/>
              </w:rPr>
              <w:t>PST and MBOX stores</w:t>
            </w:r>
          </w:p>
        </w:tc>
      </w:tr>
      <w:tr w14:paraId="4BA01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0D7DE" w:sz="4" w:space="0"/>
              <w:left w:val="single" w:color="D0D7DE" w:sz="4" w:space="0"/>
              <w:bottom w:val="single" w:color="D0D7DE" w:sz="4" w:space="0"/>
              <w:right w:val="single" w:color="D0D7DE" w:sz="4" w:space="0"/>
            </w:tcBorders>
            <w:shd w:val="clear" w:color="auto" w:fill="E1F5EE"/>
            <w:tcMar>
              <w:top w:w="70" w:type="dxa"/>
              <w:left w:w="130" w:type="dxa"/>
              <w:bottom w:w="70" w:type="dxa"/>
              <w:right w:w="130" w:type="dxa"/>
            </w:tcMar>
            <w:vAlign w:val="center"/>
          </w:tcPr>
          <w:p w14:paraId="576922E4">
            <w:pPr>
              <w:spacing w:after="0" w:line="264" w:lineRule="auto"/>
            </w:pPr>
            <w:r>
              <w:rPr>
                <w:b w:val="0"/>
                <w:bCs w:val="0"/>
                <w:color w:val="1F2328"/>
                <w:sz w:val="20"/>
                <w:szCs w:val="20"/>
              </w:rPr>
              <w:t>Attachment discovery</w:t>
            </w:r>
          </w:p>
        </w:tc>
        <w:tc>
          <w:tcPr>
            <w:tcW w:w="6360" w:type="dxa"/>
            <w:tcBorders>
              <w:top w:val="single" w:color="D0D7DE" w:sz="4" w:space="0"/>
              <w:left w:val="single" w:color="D0D7DE" w:sz="4" w:space="0"/>
              <w:bottom w:val="single" w:color="D0D7DE" w:sz="4" w:space="0"/>
              <w:right w:val="single" w:color="D0D7DE" w:sz="4" w:space="0"/>
            </w:tcBorders>
            <w:tcMar>
              <w:top w:w="70" w:type="dxa"/>
              <w:left w:w="130" w:type="dxa"/>
              <w:bottom w:w="70" w:type="dxa"/>
              <w:right w:w="130" w:type="dxa"/>
            </w:tcMar>
            <w:vAlign w:val="center"/>
          </w:tcPr>
          <w:p w14:paraId="050CECD3">
            <w:pPr>
              <w:spacing w:after="0" w:line="264" w:lineRule="auto"/>
            </w:pPr>
            <w:r>
              <w:rPr>
                <w:b w:val="0"/>
                <w:bCs w:val="0"/>
                <w:color w:val="1F2328"/>
                <w:sz w:val="20"/>
                <w:szCs w:val="20"/>
              </w:rPr>
              <w:t>outbound documents, exfiltration candidates</w:t>
            </w:r>
          </w:p>
        </w:tc>
      </w:tr>
      <w:tr w14:paraId="4B48F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0D7DE" w:sz="4" w:space="0"/>
              <w:left w:val="single" w:color="D0D7DE" w:sz="4" w:space="0"/>
              <w:bottom w:val="single" w:color="D0D7DE" w:sz="4" w:space="0"/>
              <w:right w:val="single" w:color="D0D7DE" w:sz="4" w:space="0"/>
            </w:tcBorders>
            <w:shd w:val="clear" w:color="auto" w:fill="E1F5EE"/>
            <w:tcMar>
              <w:top w:w="70" w:type="dxa"/>
              <w:left w:w="130" w:type="dxa"/>
              <w:bottom w:w="70" w:type="dxa"/>
              <w:right w:w="130" w:type="dxa"/>
            </w:tcMar>
            <w:vAlign w:val="center"/>
          </w:tcPr>
          <w:p w14:paraId="0E3E0379">
            <w:pPr>
              <w:spacing w:after="0" w:line="264" w:lineRule="auto"/>
            </w:pPr>
            <w:r>
              <w:rPr>
                <w:b w:val="0"/>
                <w:bCs w:val="0"/>
                <w:color w:val="1F2328"/>
                <w:sz w:val="20"/>
                <w:szCs w:val="20"/>
              </w:rPr>
              <w:t>Browser / webmail artifacts</w:t>
            </w:r>
          </w:p>
        </w:tc>
        <w:tc>
          <w:tcPr>
            <w:tcW w:w="6360" w:type="dxa"/>
            <w:tcBorders>
              <w:top w:val="single" w:color="D0D7DE" w:sz="4" w:space="0"/>
              <w:left w:val="single" w:color="D0D7DE" w:sz="4" w:space="0"/>
              <w:bottom w:val="single" w:color="D0D7DE" w:sz="4" w:space="0"/>
              <w:right w:val="single" w:color="D0D7DE" w:sz="4" w:space="0"/>
            </w:tcBorders>
            <w:tcMar>
              <w:top w:w="70" w:type="dxa"/>
              <w:left w:w="130" w:type="dxa"/>
              <w:bottom w:w="70" w:type="dxa"/>
              <w:right w:w="130" w:type="dxa"/>
            </w:tcMar>
            <w:vAlign w:val="center"/>
          </w:tcPr>
          <w:p w14:paraId="6D1B2F27">
            <w:pPr>
              <w:spacing w:after="0" w:line="264" w:lineRule="auto"/>
            </w:pPr>
            <w:r>
              <w:rPr>
                <w:b w:val="0"/>
                <w:bCs w:val="0"/>
                <w:color w:val="1F2328"/>
                <w:sz w:val="20"/>
                <w:szCs w:val="20"/>
              </w:rPr>
              <w:t>Gmail, Yahoo, Outlook, Hotmail</w:t>
            </w:r>
          </w:p>
        </w:tc>
      </w:tr>
    </w:tbl>
    <w:p w14:paraId="218370FB">
      <w:pPr>
        <w:pStyle w:val="3"/>
        <w:spacing w:before="240" w:after="100"/>
        <w:rPr>
          <w:b/>
          <w:bCs/>
          <w:color w:val="0B5394"/>
          <w:sz w:val="23"/>
          <w:szCs w:val="23"/>
        </w:rPr>
      </w:pPr>
    </w:p>
    <w:p w14:paraId="68190402">
      <w:pPr>
        <w:pStyle w:val="3"/>
        <w:spacing w:before="240" w:after="100"/>
      </w:pPr>
      <w:r>
        <w:rPr>
          <w:b/>
          <w:bCs/>
          <w:color w:val="0B5394"/>
          <w:sz w:val="23"/>
          <w:szCs w:val="23"/>
        </w:rPr>
        <w:t>3.  Investigation-Type Detection</w:t>
      </w:r>
    </w:p>
    <w:p w14:paraId="4F7800C0">
      <w:pPr>
        <w:spacing w:after="140" w:line="288" w:lineRule="auto"/>
        <w:rPr>
          <w:sz w:val="23"/>
          <w:szCs w:val="23"/>
        </w:rPr>
      </w:pPr>
      <w:r>
        <w:rPr>
          <w:color w:val="1F2328"/>
          <w:sz w:val="23"/>
          <w:szCs w:val="23"/>
        </w:rPr>
        <w:t>One of the most important design choices was letting the evidence determine the investigation workflow. Most DFIR automation assumes every case is an intrusion; real investigations are more complex. Our agent first determines the track, then asks track-specific questions.</w:t>
      </w:r>
    </w:p>
    <w:p w14:paraId="75E04528">
      <w:pPr>
        <w:spacing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3530"/>
        <w:gridCol w:w="3930"/>
      </w:tblGrid>
      <w:tr w14:paraId="166BA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tcBorders>
              <w:top w:val="single" w:color="D0D7DE" w:sz="4" w:space="0"/>
              <w:left w:val="single" w:color="D0D7DE" w:sz="4" w:space="0"/>
              <w:bottom w:val="single" w:color="D0D7DE" w:sz="4" w:space="0"/>
              <w:right w:val="single" w:color="D0D7DE" w:sz="4" w:space="0"/>
            </w:tcBorders>
            <w:shd w:val="clear" w:color="auto" w:fill="0B3D62"/>
            <w:tcMar>
              <w:top w:w="70" w:type="dxa"/>
              <w:left w:w="130" w:type="dxa"/>
              <w:bottom w:w="70" w:type="dxa"/>
              <w:right w:w="130" w:type="dxa"/>
            </w:tcMar>
            <w:vAlign w:val="center"/>
          </w:tcPr>
          <w:p w14:paraId="01B076A4">
            <w:pPr>
              <w:spacing w:after="0" w:line="264" w:lineRule="auto"/>
            </w:pPr>
            <w:r>
              <w:rPr>
                <w:b/>
                <w:bCs/>
                <w:color w:val="FFFFFF"/>
                <w:sz w:val="20"/>
                <w:szCs w:val="20"/>
              </w:rPr>
              <w:t>Track</w:t>
            </w:r>
          </w:p>
        </w:tc>
        <w:tc>
          <w:tcPr>
            <w:tcW w:w="3530" w:type="dxa"/>
            <w:tcBorders>
              <w:top w:val="single" w:color="D0D7DE" w:sz="4" w:space="0"/>
              <w:left w:val="single" w:color="D0D7DE" w:sz="4" w:space="0"/>
              <w:bottom w:val="single" w:color="D0D7DE" w:sz="4" w:space="0"/>
              <w:right w:val="single" w:color="D0D7DE" w:sz="4" w:space="0"/>
            </w:tcBorders>
            <w:shd w:val="clear" w:color="auto" w:fill="0B3D62"/>
            <w:tcMar>
              <w:top w:w="70" w:type="dxa"/>
              <w:left w:w="130" w:type="dxa"/>
              <w:bottom w:w="70" w:type="dxa"/>
              <w:right w:w="130" w:type="dxa"/>
            </w:tcMar>
            <w:vAlign w:val="center"/>
          </w:tcPr>
          <w:p w14:paraId="0C5FE51A">
            <w:pPr>
              <w:spacing w:after="0" w:line="264" w:lineRule="auto"/>
            </w:pPr>
            <w:r>
              <w:rPr>
                <w:b/>
                <w:bCs/>
                <w:color w:val="FFFFFF"/>
                <w:sz w:val="20"/>
                <w:szCs w:val="20"/>
              </w:rPr>
              <w:t>Indicators</w:t>
            </w:r>
          </w:p>
        </w:tc>
        <w:tc>
          <w:tcPr>
            <w:tcW w:w="3930" w:type="dxa"/>
            <w:tcBorders>
              <w:top w:val="single" w:color="D0D7DE" w:sz="4" w:space="0"/>
              <w:left w:val="single" w:color="D0D7DE" w:sz="4" w:space="0"/>
              <w:bottom w:val="single" w:color="D0D7DE" w:sz="4" w:space="0"/>
              <w:right w:val="single" w:color="D0D7DE" w:sz="4" w:space="0"/>
            </w:tcBorders>
            <w:shd w:val="clear" w:color="auto" w:fill="0B3D62"/>
            <w:tcMar>
              <w:top w:w="70" w:type="dxa"/>
              <w:left w:w="130" w:type="dxa"/>
              <w:bottom w:w="70" w:type="dxa"/>
              <w:right w:w="130" w:type="dxa"/>
            </w:tcMar>
            <w:vAlign w:val="center"/>
          </w:tcPr>
          <w:p w14:paraId="5F2105FA">
            <w:pPr>
              <w:spacing w:after="0" w:line="264" w:lineRule="auto"/>
            </w:pPr>
            <w:r>
              <w:rPr>
                <w:b/>
                <w:bCs/>
                <w:color w:val="FFFFFF"/>
                <w:sz w:val="20"/>
                <w:szCs w:val="20"/>
              </w:rPr>
              <w:t>Questions answered</w:t>
            </w:r>
          </w:p>
        </w:tc>
      </w:tr>
      <w:tr w14:paraId="6527C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D0D7DE" w:sz="4" w:space="0"/>
              <w:left w:val="single" w:color="D0D7DE" w:sz="4" w:space="0"/>
              <w:bottom w:val="single" w:color="D0D7DE" w:sz="4" w:space="0"/>
              <w:right w:val="single" w:color="D0D7DE" w:sz="4" w:space="0"/>
            </w:tcBorders>
            <w:shd w:val="clear" w:color="auto" w:fill="E6F1FB"/>
            <w:tcMar>
              <w:top w:w="70" w:type="dxa"/>
              <w:left w:w="130" w:type="dxa"/>
              <w:bottom w:w="70" w:type="dxa"/>
              <w:right w:w="130" w:type="dxa"/>
            </w:tcMar>
            <w:vAlign w:val="center"/>
          </w:tcPr>
          <w:p w14:paraId="66DF51C3">
            <w:pPr>
              <w:spacing w:after="0" w:line="264" w:lineRule="auto"/>
              <w:rPr>
                <w:sz w:val="22"/>
                <w:szCs w:val="22"/>
              </w:rPr>
            </w:pPr>
            <w:r>
              <w:rPr>
                <w:b w:val="0"/>
                <w:bCs w:val="0"/>
                <w:color w:val="1F2328"/>
                <w:sz w:val="22"/>
                <w:szCs w:val="22"/>
              </w:rPr>
              <w:t>Intrusion</w:t>
            </w:r>
          </w:p>
        </w:tc>
        <w:tc>
          <w:tcPr>
            <w:tcW w:w="3530" w:type="dxa"/>
            <w:tcBorders>
              <w:top w:val="single" w:color="D0D7DE" w:sz="4" w:space="0"/>
              <w:left w:val="single" w:color="D0D7DE" w:sz="4" w:space="0"/>
              <w:bottom w:val="single" w:color="D0D7DE" w:sz="4" w:space="0"/>
              <w:right w:val="single" w:color="D0D7DE" w:sz="4" w:space="0"/>
            </w:tcBorders>
            <w:tcMar>
              <w:top w:w="70" w:type="dxa"/>
              <w:left w:w="130" w:type="dxa"/>
              <w:bottom w:w="70" w:type="dxa"/>
              <w:right w:w="130" w:type="dxa"/>
            </w:tcMar>
            <w:vAlign w:val="center"/>
          </w:tcPr>
          <w:p w14:paraId="0E375A28">
            <w:pPr>
              <w:spacing w:after="0" w:line="264" w:lineRule="auto"/>
              <w:rPr>
                <w:sz w:val="22"/>
                <w:szCs w:val="22"/>
              </w:rPr>
            </w:pPr>
            <w:r>
              <w:rPr>
                <w:b w:val="0"/>
                <w:bCs w:val="0"/>
                <w:color w:val="1F2328"/>
                <w:sz w:val="22"/>
                <w:szCs w:val="22"/>
              </w:rPr>
              <w:t>Cain &amp; Abel, Pwdump, Netcat, Nmap, Brutus, NetBus</w:t>
            </w:r>
          </w:p>
        </w:tc>
        <w:tc>
          <w:tcPr>
            <w:tcW w:w="3930" w:type="dxa"/>
            <w:tcBorders>
              <w:top w:val="single" w:color="D0D7DE" w:sz="4" w:space="0"/>
              <w:left w:val="single" w:color="D0D7DE" w:sz="4" w:space="0"/>
              <w:bottom w:val="single" w:color="D0D7DE" w:sz="4" w:space="0"/>
              <w:right w:val="single" w:color="D0D7DE" w:sz="4" w:space="0"/>
            </w:tcBorders>
            <w:tcMar>
              <w:top w:w="70" w:type="dxa"/>
              <w:left w:w="130" w:type="dxa"/>
              <w:bottom w:w="70" w:type="dxa"/>
              <w:right w:w="130" w:type="dxa"/>
            </w:tcMar>
            <w:vAlign w:val="center"/>
          </w:tcPr>
          <w:p w14:paraId="563A90B7">
            <w:pPr>
              <w:spacing w:after="0" w:line="264" w:lineRule="auto"/>
              <w:rPr>
                <w:sz w:val="22"/>
                <w:szCs w:val="22"/>
              </w:rPr>
            </w:pPr>
            <w:r>
              <w:rPr>
                <w:b w:val="0"/>
                <w:bCs w:val="0"/>
                <w:color w:val="1F2328"/>
                <w:sz w:val="22"/>
                <w:szCs w:val="22"/>
              </w:rPr>
              <w:t>What attacker tools exist? Which executed? Was anti-forensics used?</w:t>
            </w:r>
          </w:p>
        </w:tc>
      </w:tr>
      <w:tr w14:paraId="690A8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D0D7DE" w:sz="4" w:space="0"/>
              <w:left w:val="single" w:color="D0D7DE" w:sz="4" w:space="0"/>
              <w:bottom w:val="single" w:color="D0D7DE" w:sz="4" w:space="0"/>
              <w:right w:val="single" w:color="D0D7DE" w:sz="4" w:space="0"/>
            </w:tcBorders>
            <w:shd w:val="clear" w:color="auto" w:fill="E6F1FB"/>
            <w:tcMar>
              <w:top w:w="70" w:type="dxa"/>
              <w:left w:w="130" w:type="dxa"/>
              <w:bottom w:w="70" w:type="dxa"/>
              <w:right w:w="130" w:type="dxa"/>
            </w:tcMar>
            <w:vAlign w:val="center"/>
          </w:tcPr>
          <w:p w14:paraId="7D76425F">
            <w:pPr>
              <w:spacing w:after="0" w:line="264" w:lineRule="auto"/>
              <w:rPr>
                <w:sz w:val="22"/>
                <w:szCs w:val="22"/>
              </w:rPr>
            </w:pPr>
            <w:r>
              <w:rPr>
                <w:b w:val="0"/>
                <w:bCs w:val="0"/>
                <w:color w:val="1F2328"/>
                <w:sz w:val="22"/>
                <w:szCs w:val="22"/>
              </w:rPr>
              <w:t>Exfiltration</w:t>
            </w:r>
          </w:p>
        </w:tc>
        <w:tc>
          <w:tcPr>
            <w:tcW w:w="3530" w:type="dxa"/>
            <w:tcBorders>
              <w:top w:val="single" w:color="D0D7DE" w:sz="4" w:space="0"/>
              <w:left w:val="single" w:color="D0D7DE" w:sz="4" w:space="0"/>
              <w:bottom w:val="single" w:color="D0D7DE" w:sz="4" w:space="0"/>
              <w:right w:val="single" w:color="D0D7DE" w:sz="4" w:space="0"/>
            </w:tcBorders>
            <w:tcMar>
              <w:top w:w="70" w:type="dxa"/>
              <w:left w:w="130" w:type="dxa"/>
              <w:bottom w:w="70" w:type="dxa"/>
              <w:right w:w="130" w:type="dxa"/>
            </w:tcMar>
            <w:vAlign w:val="center"/>
          </w:tcPr>
          <w:p w14:paraId="30339B60">
            <w:pPr>
              <w:spacing w:after="0" w:line="264" w:lineRule="auto"/>
              <w:rPr>
                <w:sz w:val="22"/>
                <w:szCs w:val="22"/>
              </w:rPr>
            </w:pPr>
            <w:r>
              <w:rPr>
                <w:b w:val="0"/>
                <w:bCs w:val="0"/>
                <w:color w:val="1F2328"/>
                <w:sz w:val="22"/>
                <w:szCs w:val="22"/>
              </w:rPr>
              <w:t>Sensitive spreadsheets, payroll data, SSNs, outbound email attachments</w:t>
            </w:r>
          </w:p>
        </w:tc>
        <w:tc>
          <w:tcPr>
            <w:tcW w:w="3930" w:type="dxa"/>
            <w:tcBorders>
              <w:top w:val="single" w:color="D0D7DE" w:sz="4" w:space="0"/>
              <w:left w:val="single" w:color="D0D7DE" w:sz="4" w:space="0"/>
              <w:bottom w:val="single" w:color="D0D7DE" w:sz="4" w:space="0"/>
              <w:right w:val="single" w:color="D0D7DE" w:sz="4" w:space="0"/>
            </w:tcBorders>
            <w:tcMar>
              <w:top w:w="70" w:type="dxa"/>
              <w:left w:w="130" w:type="dxa"/>
              <w:bottom w:w="70" w:type="dxa"/>
              <w:right w:w="130" w:type="dxa"/>
            </w:tcMar>
            <w:vAlign w:val="center"/>
          </w:tcPr>
          <w:p w14:paraId="6AA276C2">
            <w:pPr>
              <w:spacing w:after="0" w:line="264" w:lineRule="auto"/>
              <w:rPr>
                <w:sz w:val="22"/>
                <w:szCs w:val="22"/>
              </w:rPr>
            </w:pPr>
            <w:r>
              <w:rPr>
                <w:b w:val="0"/>
                <w:bCs w:val="0"/>
                <w:color w:val="1F2328"/>
                <w:sz w:val="22"/>
                <w:szCs w:val="22"/>
              </w:rPr>
              <w:t>What sensitive data left? Who requested it? Who received it? Was the request legitimate?</w:t>
            </w:r>
          </w:p>
        </w:tc>
      </w:tr>
      <w:tr w14:paraId="212E1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D0D7DE" w:sz="4" w:space="0"/>
              <w:left w:val="single" w:color="D0D7DE" w:sz="4" w:space="0"/>
              <w:bottom w:val="single" w:color="D0D7DE" w:sz="4" w:space="0"/>
              <w:right w:val="single" w:color="D0D7DE" w:sz="4" w:space="0"/>
            </w:tcBorders>
            <w:shd w:val="clear" w:color="auto" w:fill="E6F1FB"/>
            <w:tcMar>
              <w:top w:w="70" w:type="dxa"/>
              <w:left w:w="130" w:type="dxa"/>
              <w:bottom w:w="70" w:type="dxa"/>
              <w:right w:w="130" w:type="dxa"/>
            </w:tcMar>
            <w:vAlign w:val="center"/>
          </w:tcPr>
          <w:p w14:paraId="62BAD7DA">
            <w:pPr>
              <w:spacing w:after="0" w:line="264" w:lineRule="auto"/>
              <w:rPr>
                <w:sz w:val="22"/>
                <w:szCs w:val="22"/>
              </w:rPr>
            </w:pPr>
            <w:r>
              <w:rPr>
                <w:b w:val="0"/>
                <w:bCs w:val="0"/>
                <w:color w:val="1F2328"/>
                <w:sz w:val="22"/>
                <w:szCs w:val="22"/>
              </w:rPr>
              <w:t>Malware</w:t>
            </w:r>
          </w:p>
        </w:tc>
        <w:tc>
          <w:tcPr>
            <w:tcW w:w="3530" w:type="dxa"/>
            <w:tcBorders>
              <w:top w:val="single" w:color="D0D7DE" w:sz="4" w:space="0"/>
              <w:left w:val="single" w:color="D0D7DE" w:sz="4" w:space="0"/>
              <w:bottom w:val="single" w:color="D0D7DE" w:sz="4" w:space="0"/>
              <w:right w:val="single" w:color="D0D7DE" w:sz="4" w:space="0"/>
            </w:tcBorders>
            <w:tcMar>
              <w:top w:w="70" w:type="dxa"/>
              <w:left w:w="130" w:type="dxa"/>
              <w:bottom w:w="70" w:type="dxa"/>
              <w:right w:w="130" w:type="dxa"/>
            </w:tcMar>
            <w:vAlign w:val="center"/>
          </w:tcPr>
          <w:p w14:paraId="135E0C1D">
            <w:pPr>
              <w:spacing w:after="0" w:line="264" w:lineRule="auto"/>
              <w:rPr>
                <w:sz w:val="22"/>
                <w:szCs w:val="22"/>
              </w:rPr>
            </w:pPr>
            <w:r>
              <w:rPr>
                <w:b w:val="0"/>
                <w:bCs w:val="0"/>
                <w:color w:val="1F2328"/>
                <w:sz w:val="22"/>
                <w:szCs w:val="22"/>
              </w:rPr>
              <w:t>Suspicious executables, dropped payloads</w:t>
            </w:r>
          </w:p>
        </w:tc>
        <w:tc>
          <w:tcPr>
            <w:tcW w:w="3930" w:type="dxa"/>
            <w:tcBorders>
              <w:top w:val="single" w:color="D0D7DE" w:sz="4" w:space="0"/>
              <w:left w:val="single" w:color="D0D7DE" w:sz="4" w:space="0"/>
              <w:bottom w:val="single" w:color="D0D7DE" w:sz="4" w:space="0"/>
              <w:right w:val="single" w:color="D0D7DE" w:sz="4" w:space="0"/>
            </w:tcBorders>
            <w:tcMar>
              <w:top w:w="70" w:type="dxa"/>
              <w:left w:w="130" w:type="dxa"/>
              <w:bottom w:w="70" w:type="dxa"/>
              <w:right w:w="130" w:type="dxa"/>
            </w:tcMar>
            <w:vAlign w:val="center"/>
          </w:tcPr>
          <w:p w14:paraId="07C5F896">
            <w:pPr>
              <w:spacing w:after="0" w:line="264" w:lineRule="auto"/>
              <w:rPr>
                <w:sz w:val="22"/>
                <w:szCs w:val="22"/>
              </w:rPr>
            </w:pPr>
            <w:r>
              <w:rPr>
                <w:b w:val="0"/>
                <w:bCs w:val="0"/>
                <w:color w:val="1F2328"/>
                <w:sz w:val="22"/>
                <w:szCs w:val="22"/>
              </w:rPr>
              <w:t>What is the malware? What capabilities does it have?</w:t>
            </w:r>
          </w:p>
        </w:tc>
      </w:tr>
    </w:tbl>
    <w:p w14:paraId="549425E7">
      <w:pPr>
        <w:spacing w:after="60"/>
      </w:pPr>
    </w:p>
    <w:p w14:paraId="6CBF9157">
      <w:pPr>
        <w:spacing w:after="140" w:line="288" w:lineRule="auto"/>
        <w:rPr>
          <w:sz w:val="23"/>
          <w:szCs w:val="23"/>
        </w:rPr>
      </w:pPr>
      <w:r>
        <w:rPr>
          <w:i/>
          <w:iCs/>
          <w:color w:val="5F5E5A"/>
          <w:sz w:val="23"/>
          <w:szCs w:val="23"/>
        </w:rPr>
        <w:t>This adaptive workflow allows a single agent to investigate multiple case categories.</w:t>
      </w:r>
    </w:p>
    <w:p w14:paraId="70479652">
      <w:pPr>
        <w:spacing w:before="320" w:after="20"/>
        <w:rPr>
          <w:sz w:val="22"/>
          <w:szCs w:val="22"/>
        </w:rPr>
      </w:pPr>
      <w:r>
        <w:rPr>
          <w:b/>
          <w:bCs/>
          <w:color w:val="1D9E75"/>
          <w:spacing w:val="30"/>
          <w:sz w:val="22"/>
          <w:szCs w:val="22"/>
        </w:rPr>
        <w:t>VALIDATION</w:t>
      </w:r>
    </w:p>
    <w:p w14:paraId="1BAF076D">
      <w:pPr>
        <w:pStyle w:val="2"/>
        <w:pBdr>
          <w:bottom w:val="single" w:color="1D9E75" w:sz="18" w:space="6"/>
        </w:pBdr>
        <w:spacing w:before="0" w:after="160"/>
      </w:pPr>
      <w:r>
        <w:rPr>
          <w:b/>
          <w:bCs/>
          <w:color w:val="0B3D62"/>
          <w:sz w:val="30"/>
          <w:szCs w:val="30"/>
        </w:rPr>
        <w:t>Example Results</w:t>
      </w:r>
    </w:p>
    <w:p w14:paraId="4A028727">
      <w:pPr>
        <w:pStyle w:val="3"/>
        <w:spacing w:before="240" w:after="100"/>
      </w:pPr>
      <w:r>
        <w:rPr>
          <w:b/>
          <w:bCs/>
          <w:color w:val="0B5394"/>
          <w:sz w:val="23"/>
          <w:szCs w:val="23"/>
        </w:rPr>
        <w:t>Case 1 — CFReDS: “Mr. Evil”</w:t>
      </w:r>
    </w:p>
    <w:p w14:paraId="774874E9">
      <w:pPr>
        <w:spacing w:after="140" w:line="288" w:lineRule="auto"/>
        <w:rPr>
          <w:sz w:val="23"/>
          <w:szCs w:val="23"/>
        </w:rPr>
      </w:pPr>
      <w:r>
        <w:rPr>
          <w:color w:val="1F2328"/>
          <w:sz w:val="23"/>
          <w:szCs w:val="23"/>
        </w:rPr>
        <w:t>The agent identified a full attacker toolkit and confirmed execution from prefetch evidence.</w:t>
      </w:r>
    </w:p>
    <w:p w14:paraId="09A8FAB7">
      <w:pPr>
        <w:spacing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2C5D5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D0D7DE" w:sz="4" w:space="0"/>
              <w:left w:val="single" w:color="D0D7DE" w:sz="4" w:space="0"/>
              <w:bottom w:val="single" w:color="D0D7DE" w:sz="4" w:space="0"/>
              <w:right w:val="single" w:color="D0D7DE" w:sz="4" w:space="0"/>
            </w:tcBorders>
            <w:shd w:val="clear" w:color="auto" w:fill="0B3D62"/>
            <w:tcMar>
              <w:top w:w="70" w:type="dxa"/>
              <w:left w:w="130" w:type="dxa"/>
              <w:bottom w:w="70" w:type="dxa"/>
              <w:right w:w="130" w:type="dxa"/>
            </w:tcMar>
            <w:vAlign w:val="center"/>
          </w:tcPr>
          <w:p w14:paraId="39F515E1">
            <w:pPr>
              <w:spacing w:after="0" w:line="264" w:lineRule="auto"/>
              <w:rPr>
                <w:sz w:val="22"/>
                <w:szCs w:val="22"/>
              </w:rPr>
            </w:pPr>
            <w:r>
              <w:rPr>
                <w:b/>
                <w:bCs/>
                <w:color w:val="FFFFFF"/>
                <w:sz w:val="22"/>
                <w:szCs w:val="22"/>
              </w:rPr>
              <w:t>Category</w:t>
            </w:r>
          </w:p>
        </w:tc>
        <w:tc>
          <w:tcPr>
            <w:tcW w:w="6160" w:type="dxa"/>
            <w:tcBorders>
              <w:top w:val="single" w:color="D0D7DE" w:sz="4" w:space="0"/>
              <w:left w:val="single" w:color="D0D7DE" w:sz="4" w:space="0"/>
              <w:bottom w:val="single" w:color="D0D7DE" w:sz="4" w:space="0"/>
              <w:right w:val="single" w:color="D0D7DE" w:sz="4" w:space="0"/>
            </w:tcBorders>
            <w:shd w:val="clear" w:color="auto" w:fill="0B3D62"/>
            <w:tcMar>
              <w:top w:w="70" w:type="dxa"/>
              <w:left w:w="130" w:type="dxa"/>
              <w:bottom w:w="70" w:type="dxa"/>
              <w:right w:w="130" w:type="dxa"/>
            </w:tcMar>
            <w:vAlign w:val="center"/>
          </w:tcPr>
          <w:p w14:paraId="56A4341B">
            <w:pPr>
              <w:spacing w:after="0" w:line="264" w:lineRule="auto"/>
              <w:rPr>
                <w:sz w:val="22"/>
                <w:szCs w:val="22"/>
              </w:rPr>
            </w:pPr>
            <w:r>
              <w:rPr>
                <w:b/>
                <w:bCs/>
                <w:color w:val="FFFFFF"/>
                <w:sz w:val="22"/>
                <w:szCs w:val="22"/>
              </w:rPr>
              <w:t>Findings</w:t>
            </w:r>
          </w:p>
        </w:tc>
      </w:tr>
      <w:tr w14:paraId="6A74E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0D7DE" w:sz="4" w:space="0"/>
              <w:left w:val="single" w:color="D0D7DE" w:sz="4" w:space="0"/>
              <w:bottom w:val="single" w:color="D0D7DE" w:sz="4" w:space="0"/>
              <w:right w:val="single" w:color="D0D7DE" w:sz="4" w:space="0"/>
            </w:tcBorders>
            <w:shd w:val="clear" w:color="auto" w:fill="E6F1FB"/>
            <w:tcMar>
              <w:top w:w="70" w:type="dxa"/>
              <w:left w:w="130" w:type="dxa"/>
              <w:bottom w:w="70" w:type="dxa"/>
              <w:right w:w="130" w:type="dxa"/>
            </w:tcMar>
            <w:vAlign w:val="center"/>
          </w:tcPr>
          <w:p w14:paraId="4511118F">
            <w:pPr>
              <w:spacing w:after="0" w:line="264" w:lineRule="auto"/>
              <w:rPr>
                <w:sz w:val="22"/>
                <w:szCs w:val="22"/>
              </w:rPr>
            </w:pPr>
            <w:r>
              <w:rPr>
                <w:b w:val="0"/>
                <w:bCs w:val="0"/>
                <w:color w:val="1F2328"/>
                <w:sz w:val="22"/>
                <w:szCs w:val="22"/>
              </w:rPr>
              <w:t>Confirmed execution</w:t>
            </w:r>
          </w:p>
        </w:tc>
        <w:tc>
          <w:tcPr>
            <w:tcW w:w="6160" w:type="dxa"/>
            <w:tcBorders>
              <w:top w:val="single" w:color="D0D7DE" w:sz="4" w:space="0"/>
              <w:left w:val="single" w:color="D0D7DE" w:sz="4" w:space="0"/>
              <w:bottom w:val="single" w:color="D0D7DE" w:sz="4" w:space="0"/>
              <w:right w:val="single" w:color="D0D7DE" w:sz="4" w:space="0"/>
            </w:tcBorders>
            <w:tcMar>
              <w:top w:w="70" w:type="dxa"/>
              <w:left w:w="130" w:type="dxa"/>
              <w:bottom w:w="70" w:type="dxa"/>
              <w:right w:w="130" w:type="dxa"/>
            </w:tcMar>
            <w:vAlign w:val="center"/>
          </w:tcPr>
          <w:p w14:paraId="481678E1">
            <w:pPr>
              <w:spacing w:after="0" w:line="264" w:lineRule="auto"/>
              <w:rPr>
                <w:sz w:val="22"/>
                <w:szCs w:val="22"/>
              </w:rPr>
            </w:pPr>
            <w:r>
              <w:rPr>
                <w:b w:val="0"/>
                <w:bCs w:val="0"/>
                <w:color w:val="1F2328"/>
                <w:sz w:val="22"/>
                <w:szCs w:val="22"/>
              </w:rPr>
              <w:t>Cain &amp; Abel (prefetch evidence)</w:t>
            </w:r>
          </w:p>
        </w:tc>
      </w:tr>
      <w:tr w14:paraId="4298C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0D7DE" w:sz="4" w:space="0"/>
              <w:left w:val="single" w:color="D0D7DE" w:sz="4" w:space="0"/>
              <w:bottom w:val="single" w:color="D0D7DE" w:sz="4" w:space="0"/>
              <w:right w:val="single" w:color="D0D7DE" w:sz="4" w:space="0"/>
            </w:tcBorders>
            <w:shd w:val="clear" w:color="auto" w:fill="E6F1FB"/>
            <w:tcMar>
              <w:top w:w="70" w:type="dxa"/>
              <w:left w:w="130" w:type="dxa"/>
              <w:bottom w:w="70" w:type="dxa"/>
              <w:right w:w="130" w:type="dxa"/>
            </w:tcMar>
            <w:vAlign w:val="center"/>
          </w:tcPr>
          <w:p w14:paraId="2D683B29">
            <w:pPr>
              <w:spacing w:after="0" w:line="264" w:lineRule="auto"/>
              <w:rPr>
                <w:sz w:val="22"/>
                <w:szCs w:val="22"/>
              </w:rPr>
            </w:pPr>
            <w:r>
              <w:rPr>
                <w:b w:val="0"/>
                <w:bCs w:val="0"/>
                <w:color w:val="1F2328"/>
                <w:sz w:val="22"/>
                <w:szCs w:val="22"/>
              </w:rPr>
              <w:t>Credential theft</w:t>
            </w:r>
          </w:p>
        </w:tc>
        <w:tc>
          <w:tcPr>
            <w:tcW w:w="6160" w:type="dxa"/>
            <w:tcBorders>
              <w:top w:val="single" w:color="D0D7DE" w:sz="4" w:space="0"/>
              <w:left w:val="single" w:color="D0D7DE" w:sz="4" w:space="0"/>
              <w:bottom w:val="single" w:color="D0D7DE" w:sz="4" w:space="0"/>
              <w:right w:val="single" w:color="D0D7DE" w:sz="4" w:space="0"/>
            </w:tcBorders>
            <w:tcMar>
              <w:top w:w="70" w:type="dxa"/>
              <w:left w:w="130" w:type="dxa"/>
              <w:bottom w:w="70" w:type="dxa"/>
              <w:right w:w="130" w:type="dxa"/>
            </w:tcMar>
            <w:vAlign w:val="center"/>
          </w:tcPr>
          <w:p w14:paraId="7D884D3B">
            <w:pPr>
              <w:spacing w:after="0" w:line="264" w:lineRule="auto"/>
              <w:rPr>
                <w:sz w:val="22"/>
                <w:szCs w:val="22"/>
              </w:rPr>
            </w:pPr>
            <w:r>
              <w:rPr>
                <w:b w:val="0"/>
                <w:bCs w:val="0"/>
                <w:color w:val="1F2328"/>
                <w:sz w:val="22"/>
                <w:szCs w:val="22"/>
              </w:rPr>
              <w:t>pwdump, samdump</w:t>
            </w:r>
          </w:p>
        </w:tc>
      </w:tr>
      <w:tr w14:paraId="4D7A1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0D7DE" w:sz="4" w:space="0"/>
              <w:left w:val="single" w:color="D0D7DE" w:sz="4" w:space="0"/>
              <w:bottom w:val="single" w:color="D0D7DE" w:sz="4" w:space="0"/>
              <w:right w:val="single" w:color="D0D7DE" w:sz="4" w:space="0"/>
            </w:tcBorders>
            <w:shd w:val="clear" w:color="auto" w:fill="E6F1FB"/>
            <w:tcMar>
              <w:top w:w="70" w:type="dxa"/>
              <w:left w:w="130" w:type="dxa"/>
              <w:bottom w:w="70" w:type="dxa"/>
              <w:right w:w="130" w:type="dxa"/>
            </w:tcMar>
            <w:vAlign w:val="center"/>
          </w:tcPr>
          <w:p w14:paraId="14D80AEF">
            <w:pPr>
              <w:spacing w:after="0" w:line="264" w:lineRule="auto"/>
              <w:rPr>
                <w:sz w:val="22"/>
                <w:szCs w:val="22"/>
              </w:rPr>
            </w:pPr>
            <w:r>
              <w:rPr>
                <w:b w:val="0"/>
                <w:bCs w:val="0"/>
                <w:color w:val="1F2328"/>
                <w:sz w:val="22"/>
                <w:szCs w:val="22"/>
              </w:rPr>
              <w:t>Network reconnaissance</w:t>
            </w:r>
          </w:p>
        </w:tc>
        <w:tc>
          <w:tcPr>
            <w:tcW w:w="6160" w:type="dxa"/>
            <w:tcBorders>
              <w:top w:val="single" w:color="D0D7DE" w:sz="4" w:space="0"/>
              <w:left w:val="single" w:color="D0D7DE" w:sz="4" w:space="0"/>
              <w:bottom w:val="single" w:color="D0D7DE" w:sz="4" w:space="0"/>
              <w:right w:val="single" w:color="D0D7DE" w:sz="4" w:space="0"/>
            </w:tcBorders>
            <w:tcMar>
              <w:top w:w="70" w:type="dxa"/>
              <w:left w:w="130" w:type="dxa"/>
              <w:bottom w:w="70" w:type="dxa"/>
              <w:right w:w="130" w:type="dxa"/>
            </w:tcMar>
            <w:vAlign w:val="center"/>
          </w:tcPr>
          <w:p w14:paraId="65DB3658">
            <w:pPr>
              <w:spacing w:after="0" w:line="264" w:lineRule="auto"/>
              <w:rPr>
                <w:sz w:val="22"/>
                <w:szCs w:val="22"/>
              </w:rPr>
            </w:pPr>
            <w:r>
              <w:rPr>
                <w:b w:val="0"/>
                <w:bCs w:val="0"/>
                <w:color w:val="1F2328"/>
                <w:sz w:val="22"/>
                <w:szCs w:val="22"/>
              </w:rPr>
              <w:t>nmap, nbtscan, enum</w:t>
            </w:r>
          </w:p>
        </w:tc>
      </w:tr>
      <w:tr w14:paraId="648A9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0D7DE" w:sz="4" w:space="0"/>
              <w:left w:val="single" w:color="D0D7DE" w:sz="4" w:space="0"/>
              <w:bottom w:val="single" w:color="D0D7DE" w:sz="4" w:space="0"/>
              <w:right w:val="single" w:color="D0D7DE" w:sz="4" w:space="0"/>
            </w:tcBorders>
            <w:shd w:val="clear" w:color="auto" w:fill="E6F1FB"/>
            <w:tcMar>
              <w:top w:w="70" w:type="dxa"/>
              <w:left w:w="130" w:type="dxa"/>
              <w:bottom w:w="70" w:type="dxa"/>
              <w:right w:w="130" w:type="dxa"/>
            </w:tcMar>
            <w:vAlign w:val="center"/>
          </w:tcPr>
          <w:p w14:paraId="22F5D84E">
            <w:pPr>
              <w:spacing w:after="0" w:line="264" w:lineRule="auto"/>
              <w:rPr>
                <w:sz w:val="22"/>
                <w:szCs w:val="22"/>
              </w:rPr>
            </w:pPr>
            <w:r>
              <w:rPr>
                <w:b w:val="0"/>
                <w:bCs w:val="0"/>
                <w:color w:val="1F2328"/>
                <w:sz w:val="22"/>
                <w:szCs w:val="22"/>
              </w:rPr>
              <w:t>Anti-forensics</w:t>
            </w:r>
          </w:p>
        </w:tc>
        <w:tc>
          <w:tcPr>
            <w:tcW w:w="6160" w:type="dxa"/>
            <w:tcBorders>
              <w:top w:val="single" w:color="D0D7DE" w:sz="4" w:space="0"/>
              <w:left w:val="single" w:color="D0D7DE" w:sz="4" w:space="0"/>
              <w:bottom w:val="single" w:color="D0D7DE" w:sz="4" w:space="0"/>
              <w:right w:val="single" w:color="D0D7DE" w:sz="4" w:space="0"/>
            </w:tcBorders>
            <w:tcMar>
              <w:top w:w="70" w:type="dxa"/>
              <w:left w:w="130" w:type="dxa"/>
              <w:bottom w:w="70" w:type="dxa"/>
              <w:right w:w="130" w:type="dxa"/>
            </w:tcMar>
            <w:vAlign w:val="center"/>
          </w:tcPr>
          <w:p w14:paraId="049EECEA">
            <w:pPr>
              <w:spacing w:after="0" w:line="264" w:lineRule="auto"/>
              <w:rPr>
                <w:sz w:val="22"/>
                <w:szCs w:val="22"/>
              </w:rPr>
            </w:pPr>
            <w:r>
              <w:rPr>
                <w:b w:val="0"/>
                <w:bCs w:val="0"/>
                <w:color w:val="1F2328"/>
                <w:sz w:val="22"/>
                <w:szCs w:val="22"/>
              </w:rPr>
              <w:t>ELSAVE (event-log wiping)</w:t>
            </w:r>
          </w:p>
        </w:tc>
      </w:tr>
      <w:tr w14:paraId="0F8C5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0D7DE" w:sz="4" w:space="0"/>
              <w:left w:val="single" w:color="D0D7DE" w:sz="4" w:space="0"/>
              <w:bottom w:val="single" w:color="D0D7DE" w:sz="4" w:space="0"/>
              <w:right w:val="single" w:color="D0D7DE" w:sz="4" w:space="0"/>
            </w:tcBorders>
            <w:shd w:val="clear" w:color="auto" w:fill="E6F1FB"/>
            <w:tcMar>
              <w:top w:w="70" w:type="dxa"/>
              <w:left w:w="130" w:type="dxa"/>
              <w:bottom w:w="70" w:type="dxa"/>
              <w:right w:w="130" w:type="dxa"/>
            </w:tcMar>
            <w:vAlign w:val="center"/>
          </w:tcPr>
          <w:p w14:paraId="7796CD10">
            <w:pPr>
              <w:spacing w:after="0" w:line="264" w:lineRule="auto"/>
              <w:rPr>
                <w:sz w:val="22"/>
                <w:szCs w:val="22"/>
              </w:rPr>
            </w:pPr>
            <w:r>
              <w:rPr>
                <w:b w:val="0"/>
                <w:bCs w:val="0"/>
                <w:color w:val="1F2328"/>
                <w:sz w:val="22"/>
                <w:szCs w:val="22"/>
              </w:rPr>
              <w:t>Privilege escalation</w:t>
            </w:r>
          </w:p>
        </w:tc>
        <w:tc>
          <w:tcPr>
            <w:tcW w:w="6160" w:type="dxa"/>
            <w:tcBorders>
              <w:top w:val="single" w:color="D0D7DE" w:sz="4" w:space="0"/>
              <w:left w:val="single" w:color="D0D7DE" w:sz="4" w:space="0"/>
              <w:bottom w:val="single" w:color="D0D7DE" w:sz="4" w:space="0"/>
              <w:right w:val="single" w:color="D0D7DE" w:sz="4" w:space="0"/>
            </w:tcBorders>
            <w:tcMar>
              <w:top w:w="70" w:type="dxa"/>
              <w:left w:w="130" w:type="dxa"/>
              <w:bottom w:w="70" w:type="dxa"/>
              <w:right w:w="130" w:type="dxa"/>
            </w:tcMar>
            <w:vAlign w:val="center"/>
          </w:tcPr>
          <w:p w14:paraId="242FE232">
            <w:pPr>
              <w:spacing w:after="0" w:line="264" w:lineRule="auto"/>
              <w:rPr>
                <w:sz w:val="22"/>
                <w:szCs w:val="22"/>
              </w:rPr>
            </w:pPr>
            <w:r>
              <w:rPr>
                <w:b w:val="0"/>
                <w:bCs w:val="0"/>
                <w:color w:val="1F2328"/>
                <w:sz w:val="22"/>
                <w:szCs w:val="22"/>
              </w:rPr>
              <w:t>GetAdmin, Sechole</w:t>
            </w:r>
          </w:p>
        </w:tc>
      </w:tr>
      <w:tr w14:paraId="605E7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0D7DE" w:sz="4" w:space="0"/>
              <w:left w:val="single" w:color="D0D7DE" w:sz="4" w:space="0"/>
              <w:bottom w:val="single" w:color="D0D7DE" w:sz="4" w:space="0"/>
              <w:right w:val="single" w:color="D0D7DE" w:sz="4" w:space="0"/>
            </w:tcBorders>
            <w:shd w:val="clear" w:color="auto" w:fill="E6F1FB"/>
            <w:tcMar>
              <w:top w:w="70" w:type="dxa"/>
              <w:left w:w="130" w:type="dxa"/>
              <w:bottom w:w="70" w:type="dxa"/>
              <w:right w:w="130" w:type="dxa"/>
            </w:tcMar>
            <w:vAlign w:val="center"/>
          </w:tcPr>
          <w:p w14:paraId="16A41481">
            <w:pPr>
              <w:spacing w:after="0" w:line="264" w:lineRule="auto"/>
              <w:rPr>
                <w:sz w:val="22"/>
                <w:szCs w:val="22"/>
              </w:rPr>
            </w:pPr>
            <w:r>
              <w:rPr>
                <w:b w:val="0"/>
                <w:bCs w:val="0"/>
                <w:color w:val="1F2328"/>
                <w:sz w:val="22"/>
                <w:szCs w:val="22"/>
              </w:rPr>
              <w:t>Remote access</w:t>
            </w:r>
          </w:p>
        </w:tc>
        <w:tc>
          <w:tcPr>
            <w:tcW w:w="6160" w:type="dxa"/>
            <w:tcBorders>
              <w:top w:val="single" w:color="D0D7DE" w:sz="4" w:space="0"/>
              <w:left w:val="single" w:color="D0D7DE" w:sz="4" w:space="0"/>
              <w:bottom w:val="single" w:color="D0D7DE" w:sz="4" w:space="0"/>
              <w:right w:val="single" w:color="D0D7DE" w:sz="4" w:space="0"/>
            </w:tcBorders>
            <w:tcMar>
              <w:top w:w="70" w:type="dxa"/>
              <w:left w:w="130" w:type="dxa"/>
              <w:bottom w:w="70" w:type="dxa"/>
              <w:right w:w="130" w:type="dxa"/>
            </w:tcMar>
            <w:vAlign w:val="center"/>
          </w:tcPr>
          <w:p w14:paraId="30BDA5C8">
            <w:pPr>
              <w:spacing w:after="0" w:line="264" w:lineRule="auto"/>
              <w:rPr>
                <w:sz w:val="22"/>
                <w:szCs w:val="22"/>
              </w:rPr>
            </w:pPr>
            <w:r>
              <w:rPr>
                <w:b w:val="0"/>
                <w:bCs w:val="0"/>
                <w:color w:val="1F2328"/>
                <w:sz w:val="22"/>
                <w:szCs w:val="22"/>
              </w:rPr>
              <w:t>NetBus, VNC</w:t>
            </w:r>
          </w:p>
        </w:tc>
      </w:tr>
      <w:tr w14:paraId="72C67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0D7DE" w:sz="4" w:space="0"/>
              <w:left w:val="single" w:color="D0D7DE" w:sz="4" w:space="0"/>
              <w:bottom w:val="single" w:color="D0D7DE" w:sz="4" w:space="0"/>
              <w:right w:val="single" w:color="D0D7DE" w:sz="4" w:space="0"/>
            </w:tcBorders>
            <w:shd w:val="clear" w:color="auto" w:fill="E6F1FB"/>
            <w:tcMar>
              <w:top w:w="70" w:type="dxa"/>
              <w:left w:w="130" w:type="dxa"/>
              <w:bottom w:w="70" w:type="dxa"/>
              <w:right w:w="130" w:type="dxa"/>
            </w:tcMar>
            <w:vAlign w:val="center"/>
          </w:tcPr>
          <w:p w14:paraId="5D1AA186">
            <w:pPr>
              <w:spacing w:after="0" w:line="264" w:lineRule="auto"/>
              <w:rPr>
                <w:sz w:val="22"/>
                <w:szCs w:val="22"/>
              </w:rPr>
            </w:pPr>
            <w:r>
              <w:rPr>
                <w:b w:val="0"/>
                <w:bCs w:val="0"/>
                <w:color w:val="1F2328"/>
                <w:sz w:val="22"/>
                <w:szCs w:val="22"/>
              </w:rPr>
              <w:t>Deleted recon tools</w:t>
            </w:r>
          </w:p>
        </w:tc>
        <w:tc>
          <w:tcPr>
            <w:tcW w:w="6160" w:type="dxa"/>
            <w:tcBorders>
              <w:top w:val="single" w:color="D0D7DE" w:sz="4" w:space="0"/>
              <w:left w:val="single" w:color="D0D7DE" w:sz="4" w:space="0"/>
              <w:bottom w:val="single" w:color="D0D7DE" w:sz="4" w:space="0"/>
              <w:right w:val="single" w:color="D0D7DE" w:sz="4" w:space="0"/>
            </w:tcBorders>
            <w:tcMar>
              <w:top w:w="70" w:type="dxa"/>
              <w:left w:w="130" w:type="dxa"/>
              <w:bottom w:w="70" w:type="dxa"/>
              <w:right w:w="130" w:type="dxa"/>
            </w:tcMar>
            <w:vAlign w:val="center"/>
          </w:tcPr>
          <w:p w14:paraId="2D95C09C">
            <w:pPr>
              <w:spacing w:after="0" w:line="264" w:lineRule="auto"/>
              <w:rPr>
                <w:sz w:val="22"/>
                <w:szCs w:val="22"/>
              </w:rPr>
            </w:pPr>
            <w:r>
              <w:rPr>
                <w:b w:val="0"/>
                <w:bCs w:val="0"/>
                <w:color w:val="1F2328"/>
                <w:sz w:val="22"/>
                <w:szCs w:val="22"/>
              </w:rPr>
              <w:t>NetStumbler, Ethereal, WinPcap (recovered from Recycle Bin)</w:t>
            </w:r>
          </w:p>
        </w:tc>
      </w:tr>
    </w:tbl>
    <w:p w14:paraId="2D4BAF78">
      <w:pPr>
        <w:spacing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548D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E6F1FB" w:sz="4" w:space="0"/>
              <w:left w:val="single" w:color="0B5394" w:sz="28" w:space="0"/>
              <w:bottom w:val="single" w:color="E6F1FB" w:sz="4" w:space="0"/>
              <w:right w:val="single" w:color="E6F1FB" w:sz="4" w:space="0"/>
            </w:tcBorders>
            <w:shd w:val="clear" w:color="auto" w:fill="E6F1FB"/>
            <w:tcMar>
              <w:top w:w="110" w:type="dxa"/>
              <w:left w:w="160" w:type="dxa"/>
              <w:bottom w:w="110" w:type="dxa"/>
              <w:right w:w="160" w:type="dxa"/>
            </w:tcMar>
          </w:tcPr>
          <w:p w14:paraId="7C798F5D">
            <w:pPr>
              <w:spacing w:after="0"/>
            </w:pPr>
            <w:r>
              <w:rPr>
                <w:b/>
                <w:bCs/>
                <w:color w:val="0B5394"/>
                <w:sz w:val="23"/>
                <w:szCs w:val="23"/>
              </w:rPr>
              <w:t xml:space="preserve">Classification:  </w:t>
            </w:r>
            <w:r>
              <w:rPr>
                <w:b/>
                <w:bCs/>
                <w:color w:val="1F2328"/>
                <w:sz w:val="23"/>
                <w:szCs w:val="23"/>
              </w:rPr>
              <w:t>Attacker Staging System</w:t>
            </w:r>
          </w:p>
        </w:tc>
      </w:tr>
    </w:tbl>
    <w:p w14:paraId="450ECAE4">
      <w:pPr>
        <w:pStyle w:val="3"/>
        <w:spacing w:before="240" w:after="100"/>
        <w:rPr>
          <w:b/>
          <w:bCs/>
          <w:color w:val="0B5394"/>
          <w:sz w:val="23"/>
          <w:szCs w:val="23"/>
        </w:rPr>
      </w:pPr>
    </w:p>
    <w:p w14:paraId="2E4936C8">
      <w:pPr>
        <w:pStyle w:val="3"/>
        <w:spacing w:before="240" w:after="100"/>
      </w:pPr>
      <w:r>
        <w:rPr>
          <w:b/>
          <w:bCs/>
          <w:color w:val="0B5394"/>
          <w:sz w:val="23"/>
          <w:szCs w:val="23"/>
        </w:rPr>
        <w:t>Case 2 — Digital Corpora: “Jean”</w:t>
      </w:r>
    </w:p>
    <w:p w14:paraId="52DC06D9">
      <w:pPr>
        <w:spacing w:after="140" w:line="288" w:lineRule="auto"/>
        <w:rPr>
          <w:sz w:val="23"/>
          <w:szCs w:val="23"/>
        </w:rPr>
      </w:pPr>
      <w:r>
        <w:rPr>
          <w:color w:val="1F2328"/>
          <w:sz w:val="23"/>
          <w:szCs w:val="23"/>
        </w:rPr>
        <w:t>From a completely different disk, the same agent identified an entirely different scenario — no attacker toolkit existed.</w:t>
      </w:r>
    </w:p>
    <w:p w14:paraId="10D247F0">
      <w:pPr>
        <w:spacing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1F949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D0D7DE" w:sz="4" w:space="0"/>
              <w:left w:val="single" w:color="D0D7DE" w:sz="4" w:space="0"/>
              <w:bottom w:val="single" w:color="D0D7DE" w:sz="4" w:space="0"/>
              <w:right w:val="single" w:color="D0D7DE" w:sz="4" w:space="0"/>
            </w:tcBorders>
            <w:shd w:val="clear" w:color="auto" w:fill="0B3D62"/>
            <w:tcMar>
              <w:top w:w="70" w:type="dxa"/>
              <w:left w:w="130" w:type="dxa"/>
              <w:bottom w:w="70" w:type="dxa"/>
              <w:right w:w="130" w:type="dxa"/>
            </w:tcMar>
            <w:vAlign w:val="center"/>
          </w:tcPr>
          <w:p w14:paraId="1BECD618">
            <w:pPr>
              <w:spacing w:after="0" w:line="264" w:lineRule="auto"/>
              <w:rPr>
                <w:sz w:val="22"/>
                <w:szCs w:val="22"/>
              </w:rPr>
            </w:pPr>
            <w:r>
              <w:rPr>
                <w:b/>
                <w:bCs/>
                <w:color w:val="FFFFFF"/>
                <w:sz w:val="22"/>
                <w:szCs w:val="22"/>
              </w:rPr>
              <w:t>Evidence</w:t>
            </w:r>
          </w:p>
        </w:tc>
        <w:tc>
          <w:tcPr>
            <w:tcW w:w="6160" w:type="dxa"/>
            <w:tcBorders>
              <w:top w:val="single" w:color="D0D7DE" w:sz="4" w:space="0"/>
              <w:left w:val="single" w:color="D0D7DE" w:sz="4" w:space="0"/>
              <w:bottom w:val="single" w:color="D0D7DE" w:sz="4" w:space="0"/>
              <w:right w:val="single" w:color="D0D7DE" w:sz="4" w:space="0"/>
            </w:tcBorders>
            <w:shd w:val="clear" w:color="auto" w:fill="0B3D62"/>
            <w:tcMar>
              <w:top w:w="70" w:type="dxa"/>
              <w:left w:w="130" w:type="dxa"/>
              <w:bottom w:w="70" w:type="dxa"/>
              <w:right w:w="130" w:type="dxa"/>
            </w:tcMar>
            <w:vAlign w:val="center"/>
          </w:tcPr>
          <w:p w14:paraId="78AD64A5">
            <w:pPr>
              <w:spacing w:after="0" w:line="264" w:lineRule="auto"/>
              <w:rPr>
                <w:sz w:val="22"/>
                <w:szCs w:val="22"/>
              </w:rPr>
            </w:pPr>
            <w:r>
              <w:rPr>
                <w:b/>
                <w:bCs/>
                <w:color w:val="FFFFFF"/>
                <w:sz w:val="22"/>
                <w:szCs w:val="22"/>
              </w:rPr>
              <w:t>Detail</w:t>
            </w:r>
          </w:p>
        </w:tc>
      </w:tr>
      <w:tr w14:paraId="3C7ED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0D7DE" w:sz="4" w:space="0"/>
              <w:left w:val="single" w:color="D0D7DE" w:sz="4" w:space="0"/>
              <w:bottom w:val="single" w:color="D0D7DE" w:sz="4" w:space="0"/>
              <w:right w:val="single" w:color="D0D7DE" w:sz="4" w:space="0"/>
            </w:tcBorders>
            <w:shd w:val="clear" w:color="auto" w:fill="E1F5EE"/>
            <w:tcMar>
              <w:top w:w="70" w:type="dxa"/>
              <w:left w:w="130" w:type="dxa"/>
              <w:bottom w:w="70" w:type="dxa"/>
              <w:right w:w="130" w:type="dxa"/>
            </w:tcMar>
            <w:vAlign w:val="center"/>
          </w:tcPr>
          <w:p w14:paraId="0E0ABFD9">
            <w:pPr>
              <w:spacing w:after="0" w:line="264" w:lineRule="auto"/>
              <w:rPr>
                <w:sz w:val="22"/>
                <w:szCs w:val="22"/>
              </w:rPr>
            </w:pPr>
            <w:r>
              <w:rPr>
                <w:b w:val="0"/>
                <w:bCs w:val="0"/>
                <w:color w:val="1F2328"/>
                <w:sz w:val="22"/>
                <w:szCs w:val="22"/>
              </w:rPr>
              <w:t>Sensitive spreadsheet</w:t>
            </w:r>
          </w:p>
        </w:tc>
        <w:tc>
          <w:tcPr>
            <w:tcW w:w="6160" w:type="dxa"/>
            <w:tcBorders>
              <w:top w:val="single" w:color="D0D7DE" w:sz="4" w:space="0"/>
              <w:left w:val="single" w:color="D0D7DE" w:sz="4" w:space="0"/>
              <w:bottom w:val="single" w:color="D0D7DE" w:sz="4" w:space="0"/>
              <w:right w:val="single" w:color="D0D7DE" w:sz="4" w:space="0"/>
            </w:tcBorders>
            <w:tcMar>
              <w:top w:w="70" w:type="dxa"/>
              <w:left w:w="130" w:type="dxa"/>
              <w:bottom w:w="70" w:type="dxa"/>
              <w:right w:w="130" w:type="dxa"/>
            </w:tcMar>
            <w:vAlign w:val="center"/>
          </w:tcPr>
          <w:p w14:paraId="1B956CC4">
            <w:pPr>
              <w:spacing w:after="0" w:line="264" w:lineRule="auto"/>
              <w:rPr>
                <w:sz w:val="22"/>
                <w:szCs w:val="22"/>
              </w:rPr>
            </w:pPr>
            <w:r>
              <w:rPr>
                <w:b w:val="0"/>
                <w:bCs w:val="0"/>
                <w:color w:val="1F2328"/>
                <w:sz w:val="22"/>
                <w:szCs w:val="22"/>
              </w:rPr>
              <w:t>Employee names, salaries, and SSNs</w:t>
            </w:r>
          </w:p>
        </w:tc>
      </w:tr>
      <w:tr w14:paraId="53E70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0D7DE" w:sz="4" w:space="0"/>
              <w:left w:val="single" w:color="D0D7DE" w:sz="4" w:space="0"/>
              <w:bottom w:val="single" w:color="D0D7DE" w:sz="4" w:space="0"/>
              <w:right w:val="single" w:color="D0D7DE" w:sz="4" w:space="0"/>
            </w:tcBorders>
            <w:shd w:val="clear" w:color="auto" w:fill="E1F5EE"/>
            <w:tcMar>
              <w:top w:w="70" w:type="dxa"/>
              <w:left w:w="130" w:type="dxa"/>
              <w:bottom w:w="70" w:type="dxa"/>
              <w:right w:w="130" w:type="dxa"/>
            </w:tcMar>
            <w:vAlign w:val="center"/>
          </w:tcPr>
          <w:p w14:paraId="462A1ADD">
            <w:pPr>
              <w:spacing w:after="0" w:line="264" w:lineRule="auto"/>
              <w:rPr>
                <w:sz w:val="22"/>
                <w:szCs w:val="22"/>
              </w:rPr>
            </w:pPr>
            <w:r>
              <w:rPr>
                <w:b w:val="0"/>
                <w:bCs w:val="0"/>
                <w:color w:val="1F2328"/>
                <w:sz w:val="22"/>
                <w:szCs w:val="22"/>
              </w:rPr>
              <w:t>Social-engineering request</w:t>
            </w:r>
          </w:p>
        </w:tc>
        <w:tc>
          <w:tcPr>
            <w:tcW w:w="6160" w:type="dxa"/>
            <w:tcBorders>
              <w:top w:val="single" w:color="D0D7DE" w:sz="4" w:space="0"/>
              <w:left w:val="single" w:color="D0D7DE" w:sz="4" w:space="0"/>
              <w:bottom w:val="single" w:color="D0D7DE" w:sz="4" w:space="0"/>
              <w:right w:val="single" w:color="D0D7DE" w:sz="4" w:space="0"/>
            </w:tcBorders>
            <w:tcMar>
              <w:top w:w="70" w:type="dxa"/>
              <w:left w:w="130" w:type="dxa"/>
              <w:bottom w:w="70" w:type="dxa"/>
              <w:right w:w="130" w:type="dxa"/>
            </w:tcMar>
            <w:vAlign w:val="center"/>
          </w:tcPr>
          <w:p w14:paraId="2A30E1C6">
            <w:pPr>
              <w:spacing w:after="0" w:line="264" w:lineRule="auto"/>
              <w:rPr>
                <w:sz w:val="22"/>
                <w:szCs w:val="22"/>
              </w:rPr>
            </w:pPr>
            <w:r>
              <w:rPr>
                <w:b w:val="0"/>
                <w:bCs w:val="0"/>
                <w:color w:val="1F2328"/>
                <w:sz w:val="22"/>
                <w:szCs w:val="22"/>
              </w:rPr>
              <w:t>Appeared to come from alison@m57.biz; later messages originated from tuckgorge@gmail.com</w:t>
            </w:r>
          </w:p>
        </w:tc>
      </w:tr>
      <w:tr w14:paraId="3C4B3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0D7DE" w:sz="4" w:space="0"/>
              <w:left w:val="single" w:color="D0D7DE" w:sz="4" w:space="0"/>
              <w:bottom w:val="single" w:color="D0D7DE" w:sz="4" w:space="0"/>
              <w:right w:val="single" w:color="D0D7DE" w:sz="4" w:space="0"/>
            </w:tcBorders>
            <w:shd w:val="clear" w:color="auto" w:fill="E1F5EE"/>
            <w:tcMar>
              <w:top w:w="70" w:type="dxa"/>
              <w:left w:w="130" w:type="dxa"/>
              <w:bottom w:w="70" w:type="dxa"/>
              <w:right w:w="130" w:type="dxa"/>
            </w:tcMar>
            <w:vAlign w:val="center"/>
          </w:tcPr>
          <w:p w14:paraId="6E4DC5E2">
            <w:pPr>
              <w:spacing w:after="0" w:line="264" w:lineRule="auto"/>
              <w:rPr>
                <w:sz w:val="22"/>
                <w:szCs w:val="22"/>
              </w:rPr>
            </w:pPr>
            <w:r>
              <w:rPr>
                <w:b w:val="0"/>
                <w:bCs w:val="0"/>
                <w:color w:val="1F2328"/>
                <w:sz w:val="22"/>
                <w:szCs w:val="22"/>
              </w:rPr>
              <w:t>Outbound disclosure</w:t>
            </w:r>
          </w:p>
        </w:tc>
        <w:tc>
          <w:tcPr>
            <w:tcW w:w="6160" w:type="dxa"/>
            <w:tcBorders>
              <w:top w:val="single" w:color="D0D7DE" w:sz="4" w:space="0"/>
              <w:left w:val="single" w:color="D0D7DE" w:sz="4" w:space="0"/>
              <w:bottom w:val="single" w:color="D0D7DE" w:sz="4" w:space="0"/>
              <w:right w:val="single" w:color="D0D7DE" w:sz="4" w:space="0"/>
            </w:tcBorders>
            <w:tcMar>
              <w:top w:w="70" w:type="dxa"/>
              <w:left w:w="130" w:type="dxa"/>
              <w:bottom w:w="70" w:type="dxa"/>
              <w:right w:w="130" w:type="dxa"/>
            </w:tcMar>
            <w:vAlign w:val="center"/>
          </w:tcPr>
          <w:p w14:paraId="1E02355F">
            <w:pPr>
              <w:spacing w:after="0" w:line="264" w:lineRule="auto"/>
              <w:rPr>
                <w:sz w:val="22"/>
                <w:szCs w:val="22"/>
              </w:rPr>
            </w:pPr>
            <w:r>
              <w:rPr>
                <w:b w:val="0"/>
                <w:bCs w:val="0"/>
                <w:color w:val="1F2328"/>
                <w:sz w:val="22"/>
                <w:szCs w:val="22"/>
              </w:rPr>
              <w:t>Jean sent m57biz.xls containing employee information</w:t>
            </w:r>
          </w:p>
        </w:tc>
      </w:tr>
    </w:tbl>
    <w:p w14:paraId="22B626C5">
      <w:pPr>
        <w:spacing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C8DF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E1F5EE" w:sz="4" w:space="0"/>
              <w:left w:val="single" w:color="1D9E75" w:sz="28" w:space="0"/>
              <w:bottom w:val="single" w:color="E1F5EE" w:sz="4" w:space="0"/>
              <w:right w:val="single" w:color="E1F5EE" w:sz="4" w:space="0"/>
            </w:tcBorders>
            <w:shd w:val="clear" w:color="auto" w:fill="E1F5EE"/>
            <w:tcMar>
              <w:top w:w="110" w:type="dxa"/>
              <w:left w:w="160" w:type="dxa"/>
              <w:bottom w:w="110" w:type="dxa"/>
              <w:right w:w="160" w:type="dxa"/>
            </w:tcMar>
          </w:tcPr>
          <w:p w14:paraId="7912AD7B">
            <w:pPr>
              <w:spacing w:after="0"/>
            </w:pPr>
            <w:r>
              <w:rPr>
                <w:b/>
                <w:bCs/>
                <w:color w:val="1D9E75"/>
                <w:sz w:val="23"/>
                <w:szCs w:val="23"/>
              </w:rPr>
              <w:t xml:space="preserve">Classification:  </w:t>
            </w:r>
            <w:r>
              <w:rPr>
                <w:b/>
                <w:bCs/>
                <w:color w:val="1F2328"/>
                <w:sz w:val="23"/>
                <w:szCs w:val="23"/>
              </w:rPr>
              <w:t>Social Engineering → Data Exfiltration  (not malware or intrusion)</w:t>
            </w:r>
          </w:p>
        </w:tc>
      </w:tr>
    </w:tbl>
    <w:p w14:paraId="294DA5B6">
      <w:pPr>
        <w:spacing w:after="60"/>
      </w:pPr>
    </w:p>
    <w:p w14:paraId="31CBC3AB">
      <w:pPr>
        <w:spacing w:after="140" w:line="288" w:lineRule="auto"/>
        <w:rPr>
          <w:sz w:val="23"/>
          <w:szCs w:val="23"/>
        </w:rPr>
      </w:pPr>
      <w:r>
        <w:rPr>
          <w:i/>
          <w:iCs/>
          <w:color w:val="5F5E5A"/>
          <w:sz w:val="23"/>
          <w:szCs w:val="23"/>
        </w:rPr>
        <w:t>This demonstrated the adaptive reasoning capability of the system.</w:t>
      </w:r>
    </w:p>
    <w:p w14:paraId="6C95F175">
      <w:pPr>
        <w:spacing w:before="320" w:after="20"/>
        <w:rPr>
          <w:sz w:val="22"/>
          <w:szCs w:val="22"/>
        </w:rPr>
      </w:pPr>
      <w:r>
        <w:rPr>
          <w:b/>
          <w:bCs/>
          <w:color w:val="1D9E75"/>
          <w:spacing w:val="30"/>
          <w:sz w:val="22"/>
          <w:szCs w:val="22"/>
        </w:rPr>
        <w:t>WHY IT COUNTS AS AUTONOMOUS</w:t>
      </w:r>
    </w:p>
    <w:p w14:paraId="66FDB80D">
      <w:pPr>
        <w:pStyle w:val="2"/>
        <w:pBdr>
          <w:bottom w:val="single" w:color="1D9E75" w:sz="18" w:space="6"/>
        </w:pBdr>
        <w:spacing w:before="0" w:after="160"/>
      </w:pPr>
      <w:r>
        <w:rPr>
          <w:b/>
          <w:bCs/>
          <w:color w:val="0B3D62"/>
          <w:sz w:val="30"/>
          <w:szCs w:val="30"/>
        </w:rPr>
        <w:t>Autonomous Execution Features</w:t>
      </w:r>
    </w:p>
    <w:p w14:paraId="4B9FBFE8">
      <w:pPr>
        <w:pStyle w:val="3"/>
        <w:spacing w:before="240" w:after="100"/>
        <w:rPr>
          <w:sz w:val="23"/>
          <w:szCs w:val="23"/>
        </w:rPr>
      </w:pPr>
      <w:r>
        <w:rPr>
          <w:b/>
          <w:bCs/>
          <w:color w:val="0B5394"/>
          <w:sz w:val="23"/>
          <w:szCs w:val="23"/>
        </w:rPr>
        <w:t>Dynamic Planning</w:t>
      </w:r>
    </w:p>
    <w:p w14:paraId="02119CDA">
      <w:pPr>
        <w:spacing w:after="140" w:line="288" w:lineRule="auto"/>
        <w:rPr>
          <w:sz w:val="23"/>
          <w:szCs w:val="23"/>
        </w:rPr>
      </w:pPr>
      <w:r>
        <w:rPr>
          <w:color w:val="1F2328"/>
          <w:sz w:val="23"/>
          <w:szCs w:val="23"/>
        </w:rPr>
        <w:t>The agent chooses investigation paths based on evidence, not pre-programmed case categories.</w:t>
      </w:r>
    </w:p>
    <w:p w14:paraId="2DDDC1D7">
      <w:pPr>
        <w:pStyle w:val="3"/>
        <w:spacing w:before="240" w:after="100"/>
        <w:rPr>
          <w:sz w:val="23"/>
          <w:szCs w:val="23"/>
        </w:rPr>
      </w:pPr>
      <w:r>
        <w:rPr>
          <w:b/>
          <w:bCs/>
          <w:color w:val="0B5394"/>
          <w:sz w:val="23"/>
          <w:szCs w:val="23"/>
        </w:rPr>
        <w:t>Evidence-Grounded Reasoning</w:t>
      </w:r>
    </w:p>
    <w:p w14:paraId="708854C4">
      <w:pPr>
        <w:spacing w:after="140" w:line="288" w:lineRule="auto"/>
        <w:rPr>
          <w:sz w:val="23"/>
          <w:szCs w:val="23"/>
        </w:rPr>
      </w:pPr>
      <w:r>
        <w:rPr>
          <w:color w:val="1F2328"/>
          <w:sz w:val="23"/>
          <w:szCs w:val="23"/>
        </w:rPr>
        <w:t>Every conclusion must map to a specific artifact, inode, and source file, which significantly reduces hallucinations.</w:t>
      </w:r>
    </w:p>
    <w:p w14:paraId="23BCDA53">
      <w:pPr>
        <w:pStyle w:val="3"/>
        <w:spacing w:before="240" w:after="100"/>
        <w:rPr>
          <w:sz w:val="23"/>
          <w:szCs w:val="23"/>
        </w:rPr>
      </w:pPr>
      <w:r>
        <w:rPr>
          <w:b/>
          <w:bCs/>
          <w:color w:val="0B5394"/>
          <w:sz w:val="23"/>
          <w:szCs w:val="23"/>
        </w:rPr>
        <w:t>Self-Correction</w:t>
      </w:r>
    </w:p>
    <w:p w14:paraId="148815F1">
      <w:pPr>
        <w:spacing w:after="140" w:line="288" w:lineRule="auto"/>
        <w:rPr>
          <w:sz w:val="23"/>
          <w:szCs w:val="23"/>
        </w:rPr>
      </w:pPr>
      <w:r>
        <w:rPr>
          <w:color w:val="1F2328"/>
          <w:sz w:val="23"/>
          <w:szCs w:val="23"/>
        </w:rPr>
        <w:t>The agent continuously evaluates findings and labels them by confidence — mirroring how experienced analysts express certainty:</w:t>
      </w:r>
    </w:p>
    <w:p w14:paraId="4099F664">
      <w:pPr>
        <w:spacing w:after="120" w:line="288" w:lineRule="auto"/>
        <w:rPr>
          <w:sz w:val="23"/>
          <w:szCs w:val="23"/>
        </w:rPr>
      </w:pPr>
      <w:r>
        <w:rPr>
          <w:b/>
          <w:bCs/>
          <w:color w:val="1D9E75"/>
          <w:sz w:val="23"/>
          <w:szCs w:val="23"/>
        </w:rPr>
        <w:t>CONFIRMED</w:t>
      </w:r>
      <w:r>
        <w:rPr>
          <w:color w:val="5F5E5A"/>
          <w:sz w:val="23"/>
          <w:szCs w:val="23"/>
        </w:rPr>
        <w:t xml:space="preserve">   ·   </w:t>
      </w:r>
      <w:r>
        <w:rPr>
          <w:b/>
          <w:bCs/>
          <w:color w:val="B9770E"/>
          <w:sz w:val="23"/>
          <w:szCs w:val="23"/>
        </w:rPr>
        <w:t>LIKELY</w:t>
      </w:r>
      <w:r>
        <w:rPr>
          <w:color w:val="5F5E5A"/>
          <w:sz w:val="23"/>
          <w:szCs w:val="23"/>
        </w:rPr>
        <w:t xml:space="preserve">   ·   </w:t>
      </w:r>
      <w:r>
        <w:rPr>
          <w:b/>
          <w:bCs/>
          <w:color w:val="C0392B"/>
          <w:sz w:val="23"/>
          <w:szCs w:val="23"/>
        </w:rPr>
        <w:t>UNVERIFIED</w:t>
      </w:r>
    </w:p>
    <w:p w14:paraId="08E5B006">
      <w:pPr>
        <w:pStyle w:val="3"/>
        <w:spacing w:before="240" w:after="100"/>
        <w:rPr>
          <w:sz w:val="23"/>
          <w:szCs w:val="23"/>
        </w:rPr>
      </w:pPr>
      <w:bookmarkStart w:id="0" w:name="_GoBack"/>
      <w:r>
        <w:rPr>
          <w:b/>
          <w:bCs/>
          <w:color w:val="0B5394"/>
          <w:sz w:val="23"/>
          <w:szCs w:val="23"/>
        </w:rPr>
        <w:t>Tool Minimization</w:t>
      </w:r>
    </w:p>
    <w:p w14:paraId="22A20222">
      <w:pPr>
        <w:spacing w:after="140" w:line="288" w:lineRule="auto"/>
        <w:rPr>
          <w:sz w:val="23"/>
          <w:szCs w:val="23"/>
        </w:rPr>
      </w:pPr>
      <w:r>
        <w:rPr>
          <w:color w:val="1F2328"/>
          <w:sz w:val="23"/>
          <w:szCs w:val="23"/>
        </w:rPr>
        <w:t>Instead of repeatedly querying the image, the agent collects once, analyzes the bundle, and executes targeted retrieval only when needed — improving speed and reproducibility.</w:t>
      </w:r>
    </w:p>
    <w:bookmarkEnd w:id="0"/>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Arial Unicode MS">
    <w:panose1 w:val="020B0604020202020204"/>
    <w:charset w:val="86"/>
    <w:family w:val="auto"/>
    <w:pitch w:val="default"/>
    <w:sig w:usb0="F7FFAEFF" w:usb1="F9DFFFFF" w:usb2="0000007F" w:usb3="00000000" w:csb0="203F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7D5D89">
    <w:pPr>
      <w:pBdr>
        <w:top w:val="single" w:color="D0D7DE" w:sz="6" w:space="6"/>
      </w:pBdr>
      <w:tabs>
        <w:tab w:val="right" w:pos="9360"/>
      </w:tabs>
    </w:pPr>
    <w:r>
      <w:rPr>
        <w:color w:val="5F5E5A"/>
        <w:sz w:val="16"/>
        <w:szCs w:val="16"/>
      </w:rPr>
      <w:t>SIFT Defender Agent  ·  Autonomous DFIR for “Find Evil”</w:t>
    </w:r>
    <w:r>
      <w:tab/>
    </w:r>
    <w:r>
      <w:rPr>
        <w:color w:val="5F5E5A"/>
        <w:sz w:val="16"/>
        <w:szCs w:val="16"/>
      </w:rPr>
      <w:t xml:space="preserve">Page </w:t>
    </w:r>
    <w:r>
      <w:rPr>
        <w:color w:val="5F5E5A"/>
        <w:sz w:val="16"/>
        <w:szCs w:val="16"/>
      </w:rPr>
      <w:fldChar w:fldCharType="begin"/>
    </w:r>
    <w:r>
      <w:rPr>
        <w:color w:val="5F5E5A"/>
        <w:sz w:val="16"/>
        <w:szCs w:val="16"/>
      </w:rPr>
      <w:instrText xml:space="preserve">PAGE</w:instrText>
    </w:r>
    <w:r>
      <w:rPr>
        <w:color w:val="5F5E5A"/>
        <w:sz w:val="16"/>
        <w:szCs w:val="16"/>
      </w:rPr>
      <w:fldChar w:fldCharType="separate"/>
    </w:r>
    <w:r>
      <w:rPr>
        <w:color w:val="5F5E5A"/>
        <w:sz w:val="16"/>
        <w:szCs w:val="16"/>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60" w:hanging="260"/>
      </w:pPr>
      <w:rPr>
        <w:color w:val="1D9E75"/>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BEB0E5F"/>
    <w:rsid w:val="15B14D7D"/>
    <w:rsid w:val="4E70251E"/>
    <w:rsid w:val="549332C4"/>
    <w:rsid w:val="675A3E71"/>
    <w:rsid w:val="70CC398E"/>
    <w:rsid w:val="73D2706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F2328"/>
      <w:sz w:val="21"/>
      <w:szCs w:val="21"/>
    </w:rPr>
  </w:style>
  <w:style w:type="paragraph" w:styleId="2">
    <w:name w:val="heading 1"/>
    <w:next w:val="1"/>
    <w:qFormat/>
    <w:uiPriority w:val="0"/>
    <w:pPr>
      <w:spacing w:before="320" w:after="160"/>
      <w:outlineLvl w:val="0"/>
    </w:pPr>
    <w:rPr>
      <w:rFonts w:ascii="Calibri" w:hAnsi="Calibri" w:eastAsia="Calibri" w:cs="Calibri"/>
      <w:b/>
      <w:bCs/>
      <w:color w:val="0B3D62"/>
      <w:sz w:val="30"/>
      <w:szCs w:val="30"/>
    </w:rPr>
  </w:style>
  <w:style w:type="paragraph" w:styleId="3">
    <w:name w:val="heading 2"/>
    <w:next w:val="1"/>
    <w:qFormat/>
    <w:uiPriority w:val="0"/>
    <w:pPr>
      <w:spacing w:before="240" w:after="100"/>
      <w:outlineLvl w:val="1"/>
    </w:pPr>
    <w:rPr>
      <w:rFonts w:ascii="Calibri" w:hAnsi="Calibri" w:eastAsia="Calibri" w:cs="Calibri"/>
      <w:b/>
      <w:bCs/>
      <w:color w:val="0B5394"/>
      <w:sz w:val="23"/>
      <w:szCs w:val="23"/>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color w:val="1F2328"/>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color w:val="1F2328"/>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color w:val="1F2328"/>
      <w:sz w:val="56"/>
      <w:szCs w:val="56"/>
    </w:rPr>
  </w:style>
  <w:style w:type="paragraph" w:styleId="16">
    <w:name w:val="List Paragraph"/>
    <w:qFormat/>
    <w:uiPriority w:val="0"/>
    <w:rPr>
      <w:rFonts w:ascii="Calibri" w:hAnsi="Calibri" w:eastAsia="Calibri" w:cs="Calibri"/>
      <w:color w:val="1F2328"/>
      <w:sz w:val="21"/>
      <w:szCs w:val="21"/>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705</Words>
  <Characters>4601</Characters>
  <TotalTime>6</TotalTime>
  <ScaleCrop>false</ScaleCrop>
  <LinksUpToDate>false</LinksUpToDate>
  <CharactersWithSpaces>5211</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2026-06-13T08:40:00Z</dcterms:created>
  <dc:creator>SIFT Defender Agent Team</dc:creator>
  <cp:lastModifiedBy>sanika satpute</cp:lastModifiedBy>
  <dcterms:modified xsi:type="dcterms:W3CDTF">2026-06-13T08:51:48Z</dcterms:modified>
  <dc:title>SIFT Defender Agent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37920BA674964995A45AF715471955DA_13</vt:lpwstr>
  </property>
  <property fmtid="{D5CDD505-2E9C-101B-9397-08002B2CF9AE}" pid="4" name="KSOTemplateDocerSaveRecord">
    <vt:lpwstr>eyJoZGlkIjoiZDUwNmM3ZTFhYjM3ZTg1MmVlOWNkZDA3MDlkYmQyNTYifQ==</vt:lpwstr>
  </property>
</Properties>
</file>