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6"/>
          <w:szCs w:val="36"/>
          <w:rtl w:val="0"/>
        </w:rPr>
        <w:t xml:space="preserve">PHARMACOVIGILANCE INTERNSHIP – TASK 3</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28"/>
          <w:szCs w:val="28"/>
          <w:rtl w:val="0"/>
        </w:rPr>
        <w:t xml:space="preserve">Causality Assessment of a Suspected Adverse Drug Reaction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1"/>
          <w:szCs w:val="21"/>
          <w:rtl w:val="0"/>
        </w:rPr>
        <w:t xml:space="preserve">Tutorial Case: Amoxicillin-associated generalized itchy rash</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Objective</w:t>
      </w:r>
    </w:p>
    <w:p w:rsidR="00000000" w:rsidDel="00000000" w:rsidP="00000000" w:rsidRDefault="00000000" w:rsidRPr="00000000" w14:paraId="00000006">
      <w:pPr>
        <w:rPr/>
      </w:pPr>
      <w:r w:rsidDel="00000000" w:rsidR="00000000" w:rsidRPr="00000000">
        <w:rPr>
          <w:rtl w:val="0"/>
        </w:rPr>
        <w:t xml:space="preserve">To evaluate the causal relationship between a suspected medicine and an adverse reaction using standard causality assessment principles, with particular reference to the temporal relationship, dechallenge, rechallenge, dose-response relationship, and the Naranjo and WHO-UMC approaches.</w:t>
      </w:r>
    </w:p>
    <w:p w:rsidR="00000000" w:rsidDel="00000000" w:rsidP="00000000" w:rsidRDefault="00000000" w:rsidRPr="00000000" w14:paraId="00000007">
      <w:pPr>
        <w:pStyle w:val="Heading1"/>
        <w:rPr/>
      </w:pPr>
      <w:r w:rsidDel="00000000" w:rsidR="00000000" w:rsidRPr="00000000">
        <w:rPr>
          <w:rtl w:val="0"/>
        </w:rPr>
        <w:t xml:space="preserve">2. Case Summary</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sz w:val="19"/>
                <w:szCs w:val="19"/>
                <w:rtl w:val="0"/>
              </w:rPr>
              <w:t xml:space="preserve">Patient</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sz w:val="19"/>
                <w:szCs w:val="19"/>
                <w:rtl w:val="0"/>
              </w:rPr>
              <w:t xml:space="preserve">Raj</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sz w:val="19"/>
                <w:szCs w:val="19"/>
                <w:rtl w:val="0"/>
              </w:rPr>
              <w:t xml:space="preserve">Suspected medicine</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sz w:val="19"/>
                <w:szCs w:val="19"/>
                <w:rtl w:val="0"/>
              </w:rPr>
              <w:t xml:space="preserve">Amoxicillin</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sz w:val="19"/>
                <w:szCs w:val="19"/>
                <w:rtl w:val="0"/>
              </w:rPr>
              <w:t xml:space="preserve">Dose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sz w:val="19"/>
                <w:szCs w:val="19"/>
                <w:rtl w:val="0"/>
              </w:rPr>
              <w:t xml:space="preserve">500 mg three times daily (TID) initially</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sz w:val="19"/>
                <w:szCs w:val="19"/>
                <w:rtl w:val="0"/>
              </w:rPr>
              <w:t xml:space="preserve">Indication</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sz w:val="19"/>
                <w:szCs w:val="19"/>
                <w:rtl w:val="0"/>
              </w:rPr>
              <w:t xml:space="preserve">Throat infection</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sz w:val="19"/>
                <w:szCs w:val="19"/>
                <w:rtl w:val="0"/>
              </w:rPr>
              <w:t xml:space="preserve">Adverse reaction</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sz w:val="19"/>
                <w:szCs w:val="19"/>
                <w:rtl w:val="0"/>
              </w:rPr>
              <w:t xml:space="preserve">Generalized itchy rashes over the body</w:t>
            </w:r>
            <w:r w:rsidDel="00000000" w:rsidR="00000000" w:rsidRPr="00000000">
              <w:rPr>
                <w:rtl w:val="0"/>
              </w:rPr>
            </w:r>
          </w:p>
        </w:tc>
      </w:tr>
    </w:tbl>
    <w:p w:rsidR="00000000" w:rsidDel="00000000" w:rsidP="00000000" w:rsidRDefault="00000000" w:rsidRPr="00000000" w14:paraId="00000012">
      <w:pPr>
        <w:pStyle w:val="Heading1"/>
        <w:rPr/>
      </w:pPr>
      <w:r w:rsidDel="00000000" w:rsidR="00000000" w:rsidRPr="00000000">
        <w:rPr>
          <w:rtl w:val="0"/>
        </w:rPr>
        <w:t xml:space="preserve">3. Case Timeline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sz w:val="19"/>
                <w:szCs w:val="19"/>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sz w:val="19"/>
                <w:szCs w:val="19"/>
                <w:rtl w:val="0"/>
              </w:rPr>
              <w:t xml:space="preserve">Clinical Event</w:t>
            </w:r>
            <w:r w:rsidDel="00000000" w:rsidR="00000000" w:rsidRPr="00000000">
              <w:rPr>
                <w:rtl w:val="0"/>
              </w:rPr>
            </w:r>
          </w:p>
        </w:tc>
        <w:tc>
          <w:tcPr>
            <w:shd w:fill="d9eaf7" w:val="cle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sz w:val="19"/>
                <w:szCs w:val="19"/>
                <w:rtl w:val="0"/>
              </w:rPr>
              <w:t xml:space="preserve">Causality Relevance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sz w:val="19"/>
                <w:szCs w:val="19"/>
                <w:rtl w:val="0"/>
              </w:rPr>
              <w:t xml:space="preserve">01-Jun-2021</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sz w:val="19"/>
                <w:szCs w:val="19"/>
                <w:rtl w:val="0"/>
              </w:rPr>
              <w:t xml:space="preserve">Amoxicillin 500 mg TID started for throat infection.</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sz w:val="19"/>
                <w:szCs w:val="19"/>
                <w:rtl w:val="0"/>
              </w:rPr>
              <w:t xml:space="preserve">Exposure established.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sz w:val="19"/>
                <w:szCs w:val="19"/>
                <w:rtl w:val="0"/>
              </w:rPr>
              <w:t xml:space="preserve">02-Jun-2021</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sz w:val="19"/>
                <w:szCs w:val="19"/>
                <w:rtl w:val="0"/>
              </w:rPr>
              <w:t xml:space="preserve">Generalized itchy rashes developed.</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sz w:val="19"/>
                <w:szCs w:val="19"/>
                <w:rtl w:val="0"/>
              </w:rPr>
              <w:t xml:space="preserve">Reaction occurred shortly after exposure.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sz w:val="19"/>
                <w:szCs w:val="19"/>
                <w:rtl w:val="0"/>
              </w:rPr>
              <w:t xml:space="preserve">03-Jun-2021</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sz w:val="19"/>
                <w:szCs w:val="19"/>
                <w:rtl w:val="0"/>
              </w:rPr>
              <w:t xml:space="preserve">Dose reduced from 500 mg TID to 250 mg TID.</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sz w:val="19"/>
                <w:szCs w:val="19"/>
                <w:rtl w:val="0"/>
              </w:rPr>
              <w:t xml:space="preserve">Dechallenge/intervention initiated.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sz w:val="19"/>
                <w:szCs w:val="19"/>
                <w:rtl w:val="0"/>
              </w:rPr>
              <w:t xml:space="preserve">04-Jun-2021</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sz w:val="19"/>
                <w:szCs w:val="19"/>
                <w:rtl w:val="0"/>
              </w:rPr>
              <w:t xml:space="preserve">Rash disappeared.</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sz w:val="19"/>
                <w:szCs w:val="19"/>
                <w:rtl w:val="0"/>
              </w:rPr>
              <w:t xml:space="preserve">Positive dechallenge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sz w:val="19"/>
                <w:szCs w:val="19"/>
                <w:rtl w:val="0"/>
              </w:rPr>
              <w:t xml:space="preserve">04-Jun-2021</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sz w:val="19"/>
                <w:szCs w:val="19"/>
                <w:rtl w:val="0"/>
              </w:rPr>
              <w:t xml:space="preserve">Throat infection increased in intensity.</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sz w:val="19"/>
                <w:szCs w:val="19"/>
                <w:rtl w:val="0"/>
              </w:rPr>
              <w:t xml:space="preserve">Reason for increasing the dose again.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sz w:val="19"/>
                <w:szCs w:val="19"/>
                <w:rtl w:val="0"/>
              </w:rPr>
              <w:t xml:space="preserve">05-Jun-2021</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sz w:val="19"/>
                <w:szCs w:val="19"/>
                <w:rtl w:val="0"/>
              </w:rPr>
              <w:t xml:space="preserve">Dose increased back to 500 mg TID.</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sz w:val="19"/>
                <w:szCs w:val="19"/>
                <w:rtl w:val="0"/>
              </w:rPr>
              <w:t xml:space="preserve">Rechallenge/re-exposure.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sz w:val="19"/>
                <w:szCs w:val="19"/>
                <w:rtl w:val="0"/>
              </w:rPr>
              <w:t xml:space="preserve">06-Jun-2021</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sz w:val="19"/>
                <w:szCs w:val="19"/>
                <w:rtl w:val="0"/>
              </w:rPr>
              <w:t xml:space="preserve">Generalized itchy rashes developed again.</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sz w:val="19"/>
                <w:szCs w:val="19"/>
                <w:rtl w:val="0"/>
              </w:rPr>
              <w:t xml:space="preserve">Positive rechallenge.</w:t>
            </w:r>
            <w:r w:rsidDel="00000000" w:rsidR="00000000" w:rsidRPr="00000000">
              <w:rPr>
                <w:rtl w:val="0"/>
              </w:rPr>
            </w:r>
          </w:p>
        </w:tc>
      </w:tr>
    </w:tbl>
    <w:p w:rsidR="00000000" w:rsidDel="00000000" w:rsidP="00000000" w:rsidRDefault="00000000" w:rsidRPr="00000000" w14:paraId="0000002B">
      <w:pPr>
        <w:pStyle w:val="Heading1"/>
        <w:rPr/>
      </w:pPr>
      <w:r w:rsidDel="00000000" w:rsidR="00000000" w:rsidRPr="00000000">
        <w:rPr>
          <w:rtl w:val="0"/>
        </w:rPr>
        <w:t xml:space="preserve">4. Causality Assessment Criteria</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sz w:val="19"/>
                <w:szCs w:val="19"/>
                <w:rtl w:val="0"/>
              </w:rPr>
              <w:t xml:space="preserve">Criterion</w:t>
            </w:r>
            <w:r w:rsidDel="00000000" w:rsidR="00000000" w:rsidRPr="00000000">
              <w:rPr>
                <w:rtl w:val="0"/>
              </w:rPr>
            </w:r>
          </w:p>
        </w:tc>
        <w:tc>
          <w:tcPr>
            <w:shd w:fill="d9eaf7" w:val="cle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sz w:val="19"/>
                <w:szCs w:val="19"/>
                <w:rtl w:val="0"/>
              </w:rPr>
              <w:t xml:space="preserve">Finding in the Case</w:t>
            </w:r>
            <w:r w:rsidDel="00000000" w:rsidR="00000000" w:rsidRPr="00000000">
              <w:rPr>
                <w:rtl w:val="0"/>
              </w:rPr>
            </w:r>
          </w:p>
        </w:tc>
        <w:tc>
          <w:tcPr>
            <w:shd w:fill="d9eaf7" w:val="cle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sz w:val="19"/>
                <w:szCs w:val="19"/>
                <w:rtl w:val="0"/>
              </w:rPr>
              <w:t xml:space="preserve">Assessment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sz w:val="19"/>
                <w:szCs w:val="19"/>
                <w:rtl w:val="0"/>
              </w:rPr>
              <w:t xml:space="preserve">Temporal relationship</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sz w:val="19"/>
                <w:szCs w:val="19"/>
                <w:rtl w:val="0"/>
              </w:rPr>
              <w:t xml:space="preserve">Rash appeared one day after amoxicillin was started.</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sz w:val="19"/>
                <w:szCs w:val="19"/>
                <w:rtl w:val="0"/>
              </w:rPr>
              <w:t xml:space="preserve">Supports causality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sz w:val="19"/>
                <w:szCs w:val="19"/>
                <w:rtl w:val="0"/>
              </w:rPr>
              <w:t xml:space="preserve">Dechallenge</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sz w:val="19"/>
                <w:szCs w:val="19"/>
                <w:rtl w:val="0"/>
              </w:rPr>
              <w:t xml:space="preserve">Rash disappeared after the dose was reduced.</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sz w:val="19"/>
                <w:szCs w:val="19"/>
                <w:rtl w:val="0"/>
              </w:rPr>
              <w:t xml:space="preserve">Positive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sz w:val="19"/>
                <w:szCs w:val="19"/>
                <w:rtl w:val="0"/>
              </w:rPr>
              <w:t xml:space="preserve">Rechallenge</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sz w:val="19"/>
                <w:szCs w:val="19"/>
                <w:rtl w:val="0"/>
              </w:rPr>
              <w:t xml:space="preserve">Rash appeared again after the dose was increased to 500 mg TID.</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sz w:val="19"/>
                <w:szCs w:val="19"/>
                <w:rtl w:val="0"/>
              </w:rPr>
              <w:t xml:space="preserve">Positive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sz w:val="19"/>
                <w:szCs w:val="19"/>
                <w:rtl w:val="0"/>
              </w:rPr>
              <w:t xml:space="preserve">Dose-response pattern</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sz w:val="19"/>
                <w:szCs w:val="19"/>
                <w:rtl w:val="0"/>
              </w:rPr>
              <w:t xml:space="preserve">Rash was absent at the lower dose and recurred at the higher dose.</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sz w:val="19"/>
                <w:szCs w:val="19"/>
                <w:rtl w:val="0"/>
              </w:rPr>
              <w:t xml:space="preserve">Supports causality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sz w:val="19"/>
                <w:szCs w:val="19"/>
                <w:rtl w:val="0"/>
              </w:rPr>
              <w:t xml:space="preserve">Alternative causes</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sz w:val="19"/>
                <w:szCs w:val="19"/>
                <w:rtl w:val="0"/>
              </w:rPr>
              <w:t xml:space="preserve">No alternative cause is stated in the tutorial case.</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sz w:val="19"/>
                <w:szCs w:val="19"/>
                <w:rtl w:val="0"/>
              </w:rPr>
              <w:t xml:space="preserve">No alternative cause stated</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t xml:space="preserve">Overall, the case demonstrates a strong temporal association together with positive dechallenge and positive rechallenge. The recurrence after restoration of the higher dose also provides a dose-response pattern within the tutorial case.</w:t>
      </w:r>
    </w:p>
    <w:p w:rsidR="00000000" w:rsidDel="00000000" w:rsidP="00000000" w:rsidRDefault="00000000" w:rsidRPr="00000000" w14:paraId="0000003F">
      <w:pPr>
        <w:pStyle w:val="Heading1"/>
        <w:rPr/>
      </w:pPr>
      <w:r w:rsidDel="00000000" w:rsidR="00000000" w:rsidRPr="00000000">
        <w:rPr>
          <w:rtl w:val="0"/>
        </w:rPr>
        <w:t xml:space="preserve">5. Naranjo ADR Probability Assessment</w:t>
      </w:r>
    </w:p>
    <w:p w:rsidR="00000000" w:rsidDel="00000000" w:rsidP="00000000" w:rsidRDefault="00000000" w:rsidRPr="00000000" w14:paraId="00000040">
      <w:pPr>
        <w:rPr/>
      </w:pPr>
      <w:r w:rsidDel="00000000" w:rsidR="00000000" w:rsidRPr="00000000">
        <w:rPr>
          <w:rtl w:val="0"/>
        </w:rPr>
        <w:t xml:space="preserve">The tutorial exercise applies the Naranjo ADR Probability Scale. The completed tutorial exercise gives a total score of 9. Under the scoring interpretation shown in the tutorial, a score of 9 is classified as Definite.</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sz w:val="19"/>
                <w:szCs w:val="19"/>
                <w:rtl w:val="0"/>
              </w:rPr>
              <w:t xml:space="preserve">Naranjo Result</w:t>
            </w:r>
            <w:r w:rsidDel="00000000" w:rsidR="00000000" w:rsidRPr="00000000">
              <w:rPr>
                <w:rtl w:val="0"/>
              </w:rPr>
            </w:r>
          </w:p>
        </w:tc>
        <w:tc>
          <w:tcPr>
            <w:shd w:fill="d9eaf7" w:val="cle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sz w:val="19"/>
                <w:szCs w:val="19"/>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sz w:val="19"/>
                <w:szCs w:val="19"/>
                <w:rtl w:val="0"/>
              </w:rPr>
              <w:t xml:space="preserve">Total score: 9</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sz w:val="19"/>
                <w:szCs w:val="19"/>
                <w:rtl w:val="0"/>
              </w:rPr>
              <w:t xml:space="preserve">Definite (as per the tutorial's scoring interpretation)</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t xml:space="preserve">Important note: The detailed individual Naranjo question scoring is not reproduced here beyond the tutorial's reported total, so that no case facts are invented or assumed.</w:t>
      </w:r>
    </w:p>
    <w:p w:rsidR="00000000" w:rsidDel="00000000" w:rsidP="00000000" w:rsidRDefault="00000000" w:rsidRPr="00000000" w14:paraId="00000046">
      <w:pPr>
        <w:pStyle w:val="Heading1"/>
        <w:rPr/>
      </w:pPr>
      <w:r w:rsidDel="00000000" w:rsidR="00000000" w:rsidRPr="00000000">
        <w:rPr>
          <w:rtl w:val="0"/>
        </w:rPr>
        <w:t xml:space="preserve">6. WHO-UMC Causality Assessment</w:t>
      </w:r>
    </w:p>
    <w:p w:rsidR="00000000" w:rsidDel="00000000" w:rsidP="00000000" w:rsidRDefault="00000000" w:rsidRPr="00000000" w14:paraId="00000047">
      <w:pPr>
        <w:rPr/>
      </w:pPr>
      <w:r w:rsidDel="00000000" w:rsidR="00000000" w:rsidRPr="00000000">
        <w:rPr>
          <w:rtl w:val="0"/>
        </w:rPr>
        <w:t xml:space="preserve">The WHO-UMC system considers the time relationship, alternative explanations, response to withdrawal, and other clinical/pharmacological features. WHO-UMC describes Certain as requiring, among other criteria, a definitive pharmacological or phenomenological event; Probable/Likely requires a reasonable time sequence, an unlikely alternative explanation, and a clinically reasonable response to withdrawal. citeturn0search12</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sz w:val="19"/>
                <w:szCs w:val="19"/>
                <w:rtl w:val="0"/>
              </w:rPr>
              <w:t xml:space="preserve">WHO-UMC Factor</w:t>
            </w:r>
            <w:r w:rsidDel="00000000" w:rsidR="00000000" w:rsidRPr="00000000">
              <w:rPr>
                <w:rtl w:val="0"/>
              </w:rPr>
            </w:r>
          </w:p>
        </w:tc>
        <w:tc>
          <w:tcPr>
            <w:shd w:fill="d9eaf7" w:val="cle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sz w:val="19"/>
                <w:szCs w:val="19"/>
                <w:rtl w:val="0"/>
              </w:rPr>
              <w:t xml:space="preserve">Case Evidence</w:t>
            </w:r>
            <w:r w:rsidDel="00000000" w:rsidR="00000000" w:rsidRPr="00000000">
              <w:rPr>
                <w:rtl w:val="0"/>
              </w:rPr>
            </w:r>
          </w:p>
        </w:tc>
        <w:tc>
          <w:tcPr>
            <w:shd w:fill="d9eaf7" w:val="cle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sz w:val="19"/>
                <w:szCs w:val="19"/>
                <w:rtl w:val="0"/>
              </w:rPr>
              <w:t xml:space="preserve">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sz w:val="19"/>
                <w:szCs w:val="19"/>
                <w:rtl w:val="0"/>
              </w:rPr>
              <w:t xml:space="preserve">Time relationship</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sz w:val="19"/>
                <w:szCs w:val="19"/>
                <w:rtl w:val="0"/>
              </w:rPr>
              <w:t xml:space="preserve">Rash developed after amoxicillin initiation.</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sz w:val="19"/>
                <w:szCs w:val="19"/>
                <w:rtl w:val="0"/>
              </w:rPr>
              <w:t xml:space="preserve">Supports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19"/>
                <w:szCs w:val="19"/>
                <w:rtl w:val="0"/>
              </w:rPr>
              <w:t xml:space="preserve">Alternative causes</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sz w:val="19"/>
                <w:szCs w:val="19"/>
                <w:rtl w:val="0"/>
              </w:rPr>
              <w:t xml:space="preserve">No alternative cause is stated in the tutorial case.</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sz w:val="19"/>
                <w:szCs w:val="19"/>
                <w:rtl w:val="0"/>
              </w:rPr>
              <w:t xml:space="preserve">Supports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sz w:val="19"/>
                <w:szCs w:val="19"/>
                <w:rtl w:val="0"/>
              </w:rPr>
              <w:t xml:space="preserve">Withdrawal response</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sz w:val="19"/>
                <w:szCs w:val="19"/>
                <w:rtl w:val="0"/>
              </w:rPr>
              <w:t xml:space="preserve">Rash disappeared after dose reduction.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sz w:val="19"/>
                <w:szCs w:val="19"/>
                <w:rtl w:val="0"/>
              </w:rPr>
              <w:t xml:space="preserve">Supports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sz w:val="19"/>
                <w:szCs w:val="19"/>
                <w:rtl w:val="0"/>
              </w:rPr>
              <w:t xml:space="preserve">Rechallenge</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sz w:val="19"/>
                <w:szCs w:val="19"/>
                <w:rtl w:val="0"/>
              </w:rPr>
              <w:t xml:space="preserve">Rash recurred after the dose was increased again.</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sz w:val="19"/>
                <w:szCs w:val="19"/>
                <w:rtl w:val="0"/>
              </w:rPr>
              <w:t xml:space="preserve">Strong supporting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sz w:val="19"/>
                <w:szCs w:val="19"/>
                <w:rtl w:val="0"/>
              </w:rPr>
              <w:t xml:space="preserve">Definitive phenomenology</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sz w:val="19"/>
                <w:szCs w:val="19"/>
                <w:rtl w:val="0"/>
              </w:rPr>
              <w:t xml:space="preserve">Generalized itchy rash is not, by itself, a uniquely drug-specific phenomenon.</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sz w:val="19"/>
                <w:szCs w:val="19"/>
                <w:rtl w:val="0"/>
              </w:rPr>
              <w:t xml:space="preserve">Does not by itself establish 'Certain'</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t xml:space="preserve">Based strictly on the WHO-UMC definitions and the information stated in the tutorial case, the available evidence is consistent with a strong causal relationship and is most appropriately described as Probable/Likely under the WHO-UMC framework. The positive rechallenge strengthens the evidence, but WHO-UMC notes that a positive rechallenge alone does not automatically make a case 'Certain' when the event is not a definitive pharmacological or phenomenological event. citeturn0search12</w:t>
      </w:r>
    </w:p>
    <w:p w:rsidR="00000000" w:rsidDel="00000000" w:rsidP="00000000" w:rsidRDefault="00000000" w:rsidRPr="00000000" w14:paraId="0000005B">
      <w:pPr>
        <w:pStyle w:val="Heading1"/>
        <w:rPr/>
      </w:pPr>
      <w:r w:rsidDel="00000000" w:rsidR="00000000" w:rsidRPr="00000000">
        <w:rPr>
          <w:rtl w:val="0"/>
        </w:rPr>
        <w:t xml:space="preserve">7. Final Assessment</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sz w:val="19"/>
                <w:szCs w:val="19"/>
                <w:rtl w:val="0"/>
              </w:rPr>
              <w:t xml:space="preserve">Assessment Method</w:t>
            </w:r>
            <w:r w:rsidDel="00000000" w:rsidR="00000000" w:rsidRPr="00000000">
              <w:rPr>
                <w:rtl w:val="0"/>
              </w:rPr>
            </w:r>
          </w:p>
        </w:tc>
        <w:tc>
          <w:tcPr>
            <w:shd w:fill="d9eaf7" w:val="cle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sz w:val="19"/>
                <w:szCs w:val="19"/>
                <w:rtl w:val="0"/>
              </w:rPr>
              <w:t xml:space="preserve">Result</w:t>
            </w:r>
            <w:r w:rsidDel="00000000" w:rsidR="00000000" w:rsidRPr="00000000">
              <w:rPr>
                <w:rtl w:val="0"/>
              </w:rPr>
            </w:r>
          </w:p>
        </w:tc>
        <w:tc>
          <w:tcPr>
            <w:shd w:fill="d9eaf7" w:val="cle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sz w:val="19"/>
                <w:szCs w:val="19"/>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sz w:val="19"/>
                <w:szCs w:val="19"/>
                <w:rtl w:val="0"/>
              </w:rPr>
              <w:t xml:space="preserve">Naranjo ADR Probability Scale</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sz w:val="19"/>
                <w:szCs w:val="19"/>
                <w:rtl w:val="0"/>
              </w:rPr>
              <w:t xml:space="preserve">Score 9 – Definite</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sz w:val="19"/>
                <w:szCs w:val="19"/>
                <w:rtl w:val="0"/>
              </w:rPr>
              <w:t xml:space="preserve">Result shown by the tutorial exercise.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sz w:val="19"/>
                <w:szCs w:val="19"/>
                <w:rtl w:val="0"/>
              </w:rPr>
              <w:t xml:space="preserve">WHO-UMC Causality Assessment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sz w:val="19"/>
                <w:szCs w:val="19"/>
                <w:rtl w:val="0"/>
              </w:rPr>
              <w:t xml:space="preserve">Probable/Likely</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sz w:val="19"/>
                <w:szCs w:val="19"/>
                <w:rtl w:val="0"/>
              </w:rPr>
              <w:t xml:space="preserve">Strong temporal relationship, positive dechallenge and positive rechallenge; 'Certain' requires additional definitive phenomenological/pharmacological criteria.</w:t>
            </w:r>
            <w:r w:rsidDel="00000000" w:rsidR="00000000" w:rsidRPr="00000000">
              <w:rPr>
                <w:rtl w:val="0"/>
              </w:rPr>
            </w:r>
          </w:p>
        </w:tc>
      </w:tr>
    </w:tbl>
    <w:p w:rsidR="00000000" w:rsidDel="00000000" w:rsidP="00000000" w:rsidRDefault="00000000" w:rsidRPr="00000000" w14:paraId="00000065">
      <w:pPr>
        <w:pStyle w:val="Heading1"/>
        <w:rPr/>
      </w:pPr>
      <w:r w:rsidDel="00000000" w:rsidR="00000000" w:rsidRPr="00000000">
        <w:rPr>
          <w:rtl w:val="0"/>
        </w:rPr>
        <w:t xml:space="preserve">8. Conclusion</w:t>
      </w:r>
    </w:p>
    <w:p w:rsidR="00000000" w:rsidDel="00000000" w:rsidP="00000000" w:rsidRDefault="00000000" w:rsidRPr="00000000" w14:paraId="00000066">
      <w:pPr>
        <w:rPr/>
      </w:pPr>
      <w:r w:rsidDel="00000000" w:rsidR="00000000" w:rsidRPr="00000000">
        <w:rPr>
          <w:rtl w:val="0"/>
        </w:rPr>
        <w:t xml:space="preserve">The tutorial case shows a strong relationship between amoxicillin exposure and the reported generalized itchy rash. The reaction occurred after treatment started, disappeared following dose reduction, and reappeared when the dose was restored to 500 mg TID. This provides positive dechallenge, positive rechallenge, and an apparent dose-response pattern. The tutorial's Naranjo exercise gives a score of 9 (Definite), while application of the WHO-UMC definitions to the stated facts supports a Probable/Likely classification.</w:t>
      </w:r>
    </w:p>
    <w:p w:rsidR="00000000" w:rsidDel="00000000" w:rsidP="00000000" w:rsidRDefault="00000000" w:rsidRPr="00000000" w14:paraId="00000067">
      <w:pPr>
        <w:pStyle w:val="Heading1"/>
        <w:rPr/>
      </w:pPr>
      <w:r w:rsidDel="00000000" w:rsidR="00000000" w:rsidRPr="00000000">
        <w:rPr>
          <w:rtl w:val="0"/>
        </w:rPr>
        <w:t xml:space="preserve">9. Key Pharmacovigilance Learning Points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Temporal relationship is an essential part of causality assessment.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positive dechallenge supports a causal relationship when the reaction improves after reducing or stopping exposure.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positive rechallenge can provide strong supporting evidence when the reaction recurs after re-exposure.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Dose-response information can strengthen the assessment when a reaction changes consistently with dose.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Different causality methods may classify the same case differently because their criteria and scoring systems are not identical.</w:t>
      </w:r>
    </w:p>
    <w:p w:rsidR="00000000" w:rsidDel="00000000" w:rsidP="00000000" w:rsidRDefault="00000000" w:rsidRPr="00000000" w14:paraId="0000006D">
      <w:pPr>
        <w:pStyle w:val="Heading1"/>
        <w:rPr/>
      </w:pPr>
      <w:r w:rsidDel="00000000" w:rsidR="00000000" w:rsidRPr="00000000">
        <w:rPr>
          <w:rtl w:val="0"/>
        </w:rPr>
        <w:t xml:space="preserve">10. Source / Reference</w:t>
      </w:r>
    </w:p>
    <w:p w:rsidR="00000000" w:rsidDel="00000000" w:rsidP="00000000" w:rsidRDefault="00000000" w:rsidRPr="00000000" w14:paraId="0000006E">
      <w:pPr>
        <w:rPr/>
      </w:pPr>
      <w:r w:rsidDel="00000000" w:rsidR="00000000" w:rsidRPr="00000000">
        <w:rPr>
          <w:rtl w:val="0"/>
        </w:rPr>
        <w:t xml:space="preserve">Uppsala Monitoring Centre (UMC). Standardised case causality assessment / WHO-UMC causality categories. The WHO-UMC criteria used in this report are based on the UMC reference document.</w:t>
      </w:r>
    </w:p>
    <w:p w:rsidR="00000000" w:rsidDel="00000000" w:rsidP="00000000" w:rsidRDefault="00000000" w:rsidRPr="00000000" w14:paraId="0000006F">
      <w:pPr>
        <w:rPr/>
      </w:pPr>
      <w:r w:rsidDel="00000000" w:rsidR="00000000" w:rsidRPr="00000000">
        <w:rPr>
          <w:rtl w:val="0"/>
        </w:rPr>
        <w:t xml:space="preserve">Tutorial case source: VirtualWorks Lab Pharmacovigilance Internship – Task 3 tutorial video (case used for this report).</w:t>
      </w:r>
    </w:p>
    <w:p w:rsidR="00000000" w:rsidDel="00000000" w:rsidP="00000000" w:rsidRDefault="00000000" w:rsidRPr="00000000" w14:paraId="00000070">
      <w:pPr>
        <w:pStyle w:val="Heading1"/>
        <w:rPr/>
      </w:pPr>
      <w:r w:rsidDel="00000000" w:rsidR="00000000" w:rsidRPr="00000000">
        <w:rPr>
          <w:rtl w:val="0"/>
        </w:rPr>
        <w:t xml:space="preserve">11. Disclaimer</w:t>
      </w:r>
    </w:p>
    <w:p w:rsidR="00000000" w:rsidDel="00000000" w:rsidP="00000000" w:rsidRDefault="00000000" w:rsidRPr="00000000" w14:paraId="00000071">
      <w:pPr>
        <w:rPr/>
      </w:pPr>
      <w:r w:rsidDel="00000000" w:rsidR="00000000" w:rsidRPr="00000000">
        <w:rPr>
          <w:rtl w:val="0"/>
        </w:rPr>
        <w:t xml:space="preserve">This report is prepared for educational and internship submission purposes using the simulated case presented in the Task 3 tutorial. It is not a real patient case and should not be used for clinical decision-making.</w:t>
      </w:r>
    </w:p>
    <w:sectPr>
      <w:footerReference r:id="rId6"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Pharmacovigilance Internship – Task 3 | Causality Assessment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