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5" w:sz="0"/>
              <w:left w:val="single" w:color="0D2B45" w:sz="0"/>
              <w:bottom w:val="single" w:color="0D2B45" w:sz="0"/>
              <w:right w:val="single" w:color="0D2B45" w:sz="0"/>
            </w:tcBorders>
            <w:shd w:fill="0D2B45" w:val="clear"/>
            <w:tcMar>
              <w:top w:type="dxa" w:w="640"/>
              <w:left w:type="dxa" w:w="480"/>
              <w:bottom w:type="dxa" w:w="640"/>
              <w:right w:type="dxa" w:w="480"/>
            </w:tcMar>
          </w:tcPr>
          <w:p>
            <w:pPr>
              <w:spacing w:after="60" w:before="0"/>
              <w:jc w:val="center"/>
            </w:pPr>
            <w:r>
              <w:rPr>
                <w:rFonts w:ascii="Arial" w:cs="Arial" w:eastAsia="Arial" w:hAnsi="Arial"/>
                <w:b/>
                <w:bCs/>
                <w:color w:val="FFFFFF"/>
                <w:sz w:val="80"/>
                <w:szCs w:val="80"/>
              </w:rPr>
              <w:t xml:space="preserve">CLINICFLOW</w:t>
            </w:r>
          </w:p>
          <w:p>
            <w:pPr>
              <w:spacing w:after="80" w:before="0"/>
              <w:jc w:val="center"/>
            </w:pPr>
            <w:r>
              <w:rPr>
                <w:rFonts w:ascii="Arial" w:cs="Arial" w:eastAsia="Arial" w:hAnsi="Arial"/>
                <w:color w:val="A9CCE3"/>
                <w:sz w:val="26"/>
                <w:szCs w:val="26"/>
              </w:rPr>
              <w:t xml:space="preserve">Decision-Aware ML System for Reducing Appointment No-Shows</w:t>
            </w:r>
          </w:p>
          <w:p>
            <w:pPr>
              <w:pBdr>
                <w:top w:val="single" w:color="A9CCE3" w:sz="2"/>
                <w:bottom w:val="single" w:color="A9CCE3" w:sz="2"/>
              </w:pBdr>
              <w:spacing w:after="60" w:before="60"/>
              <w:jc w:val="center"/>
            </w:pPr>
            <w:r>
              <w:rPr>
                <w:rFonts w:ascii="Arial" w:cs="Arial" w:eastAsia="Arial" w:hAnsi="Arial"/>
                <w:color w:val="85C1E9"/>
                <w:sz w:val="20"/>
                <w:szCs w:val="20"/>
              </w:rPr>
              <w:t xml:space="preserve">Full Project Report  &amp;  System Documentation</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E8F4F8" w:val="clear"/>
            <w:tcMar>
              <w:top w:type="dxa" w:w="160"/>
              <w:left w:type="dxa" w:w="200"/>
              <w:bottom w:type="dxa" w:w="160"/>
              <w:right w:type="dxa" w:w="200"/>
            </w:tcMar>
          </w:tcPr>
          <w:p>
            <w:r>
              <w:rPr>
                <w:rFonts w:ascii="Arial" w:cs="Arial" w:eastAsia="Arial" w:hAnsi="Arial"/>
                <w:color w:val="566573"/>
                <w:sz w:val="18"/>
                <w:szCs w:val="18"/>
              </w:rPr>
              <w:t xml:space="preserve">Author</w:t>
            </w:r>
          </w:p>
          <w:p>
            <w:pPr>
              <w:spacing w:after="0" w:before="20"/>
            </w:pPr>
            <w:r>
              <w:rPr>
                <w:rFonts w:ascii="Arial" w:cs="Arial" w:eastAsia="Arial" w:hAnsi="Arial"/>
                <w:b/>
                <w:bCs/>
                <w:color w:val="0D2B45"/>
                <w:sz w:val="22"/>
                <w:szCs w:val="22"/>
              </w:rPr>
              <w:t xml:space="preserve">Sanika Dhayabar Patil</w:t>
            </w:r>
          </w:p>
          <w:p>
            <w:pPr>
              <w:spacing w:after="0" w:before="10"/>
            </w:pPr>
            <w:r>
              <w:rPr>
                <w:rFonts w:ascii="Arial" w:cs="Arial" w:eastAsia="Arial" w:hAnsi="Arial"/>
                <w:color w:val="1C2833"/>
                <w:sz w:val="20"/>
                <w:szCs w:val="20"/>
              </w:rPr>
              <w:t xml:space="preserve">Graduate Student, Northeastern University</w:t>
            </w:r>
          </w:p>
        </w:tc>
        <w:tc>
          <w:tcPr>
            <w:tcW w:type="dxa" w:w="4680"/>
            <w:tcBorders>
              <w:top w:val="single" w:color="D5D8DC" w:sz="1"/>
              <w:left w:val="single" w:color="D5D8DC" w:sz="1"/>
              <w:bottom w:val="single" w:color="D5D8DC" w:sz="1"/>
              <w:right w:val="single" w:color="D5D8DC" w:sz="1"/>
            </w:tcBorders>
            <w:shd w:fill="F4F9FB" w:val="clear"/>
            <w:tcMar>
              <w:top w:type="dxa" w:w="160"/>
              <w:left w:type="dxa" w:w="200"/>
              <w:bottom w:type="dxa" w:w="160"/>
              <w:right w:type="dxa" w:w="200"/>
            </w:tcMar>
          </w:tcPr>
          <w:p>
            <w:r>
              <w:rPr>
                <w:rFonts w:ascii="Arial" w:cs="Arial" w:eastAsia="Arial" w:hAnsi="Arial"/>
                <w:color w:val="566573"/>
                <w:sz w:val="18"/>
                <w:szCs w:val="18"/>
              </w:rPr>
              <w:t xml:space="preserve">Live System</w:t>
            </w:r>
          </w:p>
          <w:p>
            <w:pPr>
              <w:spacing w:after="0" w:before="20"/>
            </w:pPr>
            <w:r>
              <w:rPr>
                <w:rFonts w:ascii="Arial" w:cs="Arial" w:eastAsia="Arial" w:hAnsi="Arial"/>
                <w:b/>
                <w:bCs/>
                <w:color w:val="1A5276"/>
                <w:sz w:val="20"/>
                <w:szCs w:val="20"/>
              </w:rPr>
              <w:t xml:space="preserve">clinicflow-hazel.vercel.app</w:t>
            </w:r>
          </w:p>
          <w:p>
            <w:pPr>
              <w:spacing w:after="0" w:before="10"/>
            </w:pPr>
            <w:r>
              <w:rPr>
                <w:rFonts w:ascii="Arial" w:cs="Arial" w:eastAsia="Arial" w:hAnsi="Arial"/>
                <w:color w:val="2E86C1"/>
                <w:sz w:val="19"/>
                <w:szCs w:val="19"/>
              </w:rPr>
              <w:t xml:space="preserve">clinicflow-ysqv.onrender.com/docs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86C1" w:sz="2"/>
              <w:left w:val="single" w:color="2E86C1" w:sz="2"/>
              <w:bottom w:val="single" w:color="2E86C1" w:sz="2"/>
              <w:right w:val="single" w:color="2E86C1" w:sz="2"/>
            </w:tcBorders>
            <w:shd w:fill="E8F4F8" w:val="clear"/>
            <w:tcMar>
              <w:top w:type="dxa" w:w="120"/>
              <w:left w:type="dxa" w:w="160"/>
              <w:bottom w:type="dxa" w:w="120"/>
              <w:right w:type="dxa" w:w="160"/>
            </w:tcMar>
          </w:tcPr>
          <w:p>
            <w:pPr>
              <w:jc w:val="center"/>
            </w:pPr>
            <w:r>
              <w:rPr>
                <w:rFonts w:ascii="Arial" w:cs="Arial" w:eastAsia="Arial" w:hAnsi="Arial"/>
                <w:b/>
                <w:bCs/>
                <w:color w:val="0D2B45"/>
                <w:sz w:val="36"/>
                <w:szCs w:val="36"/>
              </w:rPr>
              <w:t xml:space="preserve">0.823</w:t>
            </w:r>
          </w:p>
          <w:p>
            <w:pPr>
              <w:spacing w:after="0" w:before="20"/>
              <w:jc w:val="center"/>
            </w:pPr>
            <w:r>
              <w:rPr>
                <w:rFonts w:ascii="Arial" w:cs="Arial" w:eastAsia="Arial" w:hAnsi="Arial"/>
                <w:color w:val="566573"/>
                <w:sz w:val="17"/>
                <w:szCs w:val="17"/>
              </w:rPr>
              <w:t xml:space="preserve">AUROC</w:t>
            </w:r>
          </w:p>
        </w:tc>
        <w:tc>
          <w:tcPr>
            <w:tcW w:type="dxa" w:w="1872"/>
            <w:tcBorders>
              <w:top w:val="single" w:color="2E86C1" w:sz="2"/>
              <w:left w:val="single" w:color="2E86C1" w:sz="2"/>
              <w:bottom w:val="single" w:color="2E86C1" w:sz="2"/>
              <w:right w:val="single" w:color="2E86C1" w:sz="2"/>
            </w:tcBorders>
            <w:shd w:fill="F4F9FB" w:val="clear"/>
            <w:tcMar>
              <w:top w:type="dxa" w:w="120"/>
              <w:left w:type="dxa" w:w="160"/>
              <w:bottom w:type="dxa" w:w="120"/>
              <w:right w:type="dxa" w:w="160"/>
            </w:tcMar>
          </w:tcPr>
          <w:p>
            <w:pPr>
              <w:jc w:val="center"/>
            </w:pPr>
            <w:r>
              <w:rPr>
                <w:rFonts w:ascii="Arial" w:cs="Arial" w:eastAsia="Arial" w:hAnsi="Arial"/>
                <w:b/>
                <w:bCs/>
                <w:color w:val="0D2B45"/>
                <w:sz w:val="36"/>
                <w:szCs w:val="36"/>
              </w:rPr>
              <w:t xml:space="preserve">0.141</w:t>
            </w:r>
          </w:p>
          <w:p>
            <w:pPr>
              <w:spacing w:after="0" w:before="20"/>
              <w:jc w:val="center"/>
            </w:pPr>
            <w:r>
              <w:rPr>
                <w:rFonts w:ascii="Arial" w:cs="Arial" w:eastAsia="Arial" w:hAnsi="Arial"/>
                <w:color w:val="566573"/>
                <w:sz w:val="17"/>
                <w:szCs w:val="17"/>
              </w:rPr>
              <w:t xml:space="preserve">Brier Score</w:t>
            </w:r>
          </w:p>
        </w:tc>
        <w:tc>
          <w:tcPr>
            <w:tcW w:type="dxa" w:w="1872"/>
            <w:tcBorders>
              <w:top w:val="single" w:color="2E86C1" w:sz="2"/>
              <w:left w:val="single" w:color="2E86C1" w:sz="2"/>
              <w:bottom w:val="single" w:color="2E86C1" w:sz="2"/>
              <w:right w:val="single" w:color="2E86C1" w:sz="2"/>
            </w:tcBorders>
            <w:shd w:fill="E8F4F8" w:val="clear"/>
            <w:tcMar>
              <w:top w:type="dxa" w:w="120"/>
              <w:left w:type="dxa" w:w="160"/>
              <w:bottom w:type="dxa" w:w="120"/>
              <w:right w:type="dxa" w:w="160"/>
            </w:tcMar>
          </w:tcPr>
          <w:p>
            <w:pPr>
              <w:jc w:val="center"/>
            </w:pPr>
            <w:r>
              <w:rPr>
                <w:rFonts w:ascii="Arial" w:cs="Arial" w:eastAsia="Arial" w:hAnsi="Arial"/>
                <w:b/>
                <w:bCs/>
                <w:color w:val="0D2B45"/>
                <w:sz w:val="36"/>
                <w:szCs w:val="36"/>
              </w:rPr>
              <w:t xml:space="preserve">50k</w:t>
            </w:r>
          </w:p>
          <w:p>
            <w:pPr>
              <w:spacing w:after="0" w:before="20"/>
              <w:jc w:val="center"/>
            </w:pPr>
            <w:r>
              <w:rPr>
                <w:rFonts w:ascii="Arial" w:cs="Arial" w:eastAsia="Arial" w:hAnsi="Arial"/>
                <w:color w:val="566573"/>
                <w:sz w:val="17"/>
                <w:szCs w:val="17"/>
              </w:rPr>
              <w:t xml:space="preserve">Training Records</w:t>
            </w:r>
          </w:p>
        </w:tc>
        <w:tc>
          <w:tcPr>
            <w:tcW w:type="dxa" w:w="1872"/>
            <w:tcBorders>
              <w:top w:val="single" w:color="2E86C1" w:sz="2"/>
              <w:left w:val="single" w:color="2E86C1" w:sz="2"/>
              <w:bottom w:val="single" w:color="2E86C1" w:sz="2"/>
              <w:right w:val="single" w:color="2E86C1" w:sz="2"/>
            </w:tcBorders>
            <w:shd w:fill="F4F9FB" w:val="clear"/>
            <w:tcMar>
              <w:top w:type="dxa" w:w="120"/>
              <w:left w:type="dxa" w:w="160"/>
              <w:bottom w:type="dxa" w:w="120"/>
              <w:right w:type="dxa" w:w="160"/>
            </w:tcMar>
          </w:tcPr>
          <w:p>
            <w:pPr>
              <w:jc w:val="center"/>
            </w:pPr>
            <w:r>
              <w:rPr>
                <w:rFonts w:ascii="Arial" w:cs="Arial" w:eastAsia="Arial" w:hAnsi="Arial"/>
                <w:b/>
                <w:bCs/>
                <w:color w:val="0D2B45"/>
                <w:sz w:val="36"/>
                <w:szCs w:val="36"/>
              </w:rPr>
              <w:t xml:space="preserve">$0</w:t>
            </w:r>
          </w:p>
          <w:p>
            <w:pPr>
              <w:spacing w:after="0" w:before="20"/>
              <w:jc w:val="center"/>
            </w:pPr>
            <w:r>
              <w:rPr>
                <w:rFonts w:ascii="Arial" w:cs="Arial" w:eastAsia="Arial" w:hAnsi="Arial"/>
                <w:color w:val="566573"/>
                <w:sz w:val="17"/>
                <w:szCs w:val="17"/>
              </w:rPr>
              <w:t xml:space="preserve">Hosting Cost</w:t>
            </w:r>
          </w:p>
        </w:tc>
        <w:tc>
          <w:tcPr>
            <w:tcW w:type="dxa" w:w="1872"/>
            <w:tcBorders>
              <w:top w:val="single" w:color="2E86C1" w:sz="2"/>
              <w:left w:val="single" w:color="2E86C1" w:sz="2"/>
              <w:bottom w:val="single" w:color="2E86C1" w:sz="2"/>
              <w:right w:val="single" w:color="2E86C1" w:sz="2"/>
            </w:tcBorders>
            <w:shd w:fill="E8F4F8" w:val="clear"/>
            <w:tcMar>
              <w:top w:type="dxa" w:w="120"/>
              <w:left w:type="dxa" w:w="160"/>
              <w:bottom w:type="dxa" w:w="120"/>
              <w:right w:type="dxa" w:w="160"/>
            </w:tcMar>
          </w:tcPr>
          <w:p>
            <w:pPr>
              <w:jc w:val="center"/>
            </w:pPr>
            <w:r>
              <w:rPr>
                <w:rFonts w:ascii="Arial" w:cs="Arial" w:eastAsia="Arial" w:hAnsi="Arial"/>
                <w:b/>
                <w:bCs/>
                <w:color w:val="0D2B45"/>
                <w:sz w:val="36"/>
                <w:szCs w:val="36"/>
              </w:rPr>
              <w:t xml:space="preserve">18</w:t>
            </w:r>
          </w:p>
          <w:p>
            <w:pPr>
              <w:spacing w:after="0" w:before="20"/>
              <w:jc w:val="center"/>
            </w:pPr>
            <w:r>
              <w:rPr>
                <w:rFonts w:ascii="Arial" w:cs="Arial" w:eastAsia="Arial" w:hAnsi="Arial"/>
                <w:color w:val="566573"/>
                <w:sz w:val="17"/>
                <w:szCs w:val="17"/>
              </w:rPr>
              <w:t xml:space="preserve">ML Features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20"/>
        <w:gridCol w:w="8640"/>
      </w:tblGrid>
      <w:tr>
        <w:tc>
          <w:tcPr>
            <w:tcW w:type="dxa" w:w="720"/>
            <w:tcBorders>
              <w:top w:val="single" w:color="0D2B45" w:sz="0"/>
              <w:left w:val="single" w:color="0D2B45" w:sz="0"/>
              <w:bottom w:val="single" w:color="0D2B45" w:sz="0"/>
              <w:right w:val="single" w:color="0D2B45" w:sz="0"/>
            </w:tcBorders>
            <w:shd w:fill="0D2B45"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1</w:t>
            </w:r>
          </w:p>
        </w:tc>
        <w:tc>
          <w:tcPr>
            <w:tcW w:type="dxa" w:w="8640"/>
            <w:tcBorders>
              <w:top w:val="single" w:color="0D2B45" w:sz="1"/>
              <w:left w:val="nil" w:color="FFFFFF" w:sz="0"/>
              <w:bottom w:val="single" w:color="0D2B45" w:sz="1"/>
              <w:right w:val="single" w:color="0D2B45" w:sz="1"/>
            </w:tcBorders>
            <w:shd w:fill="E8F4F8" w:val="clear"/>
            <w:tcMar>
              <w:top w:type="dxa" w:w="120"/>
              <w:left w:type="dxa" w:w="200"/>
              <w:bottom w:type="dxa" w:w="120"/>
              <w:right w:type="dxa" w:w="100"/>
            </w:tcMar>
            <w:vAlign w:val="center"/>
          </w:tcPr>
          <w:p>
            <w:r>
              <w:rPr>
                <w:rFonts w:ascii="Arial" w:cs="Arial" w:eastAsia="Arial" w:hAnsi="Arial"/>
                <w:b/>
                <w:bCs/>
                <w:color w:val="0D2B45"/>
                <w:sz w:val="26"/>
                <w:szCs w:val="26"/>
              </w:rPr>
              <w:t xml:space="preserve">Executive Summary</w:t>
            </w:r>
          </w:p>
        </w:tc>
      </w:tr>
    </w:tbl>
    <w:p>
      <w:pPr>
        <w:spacing w:after="0" w:before="80"/>
      </w:pPr>
    </w:p>
    <w:p>
      <w:pPr>
        <w:spacing w:after="100" w:before="0"/>
      </w:pPr>
      <w:r>
        <w:rPr>
          <w:rFonts w:ascii="Arial" w:cs="Arial" w:eastAsia="Arial" w:hAnsi="Arial"/>
          <w:color w:val="1C2833"/>
          <w:sz w:val="21"/>
          <w:szCs w:val="21"/>
        </w:rPr>
        <w:t xml:space="preserve">ClinicFlow is a production-grade decision system for reducing healthcare appointment no-shows. Unlike conventional ML approaches that output a probability and stop, ClinicFlow operationalizes that probability into a cost-aware intervention recommendation — telling clinic staff not just whether a patient is likely to miss their appointment, but exactly what action to take and the expected dollar return on taking it.</w:t>
      </w:r>
    </w:p>
    <w:p>
      <w:pPr>
        <w:spacing w:after="100" w:before="0"/>
      </w:pPr>
      <w:r>
        <w:rPr>
          <w:rFonts w:ascii="Arial" w:cs="Arial" w:eastAsia="Arial" w:hAnsi="Arial"/>
          <w:color w:val="1C2833"/>
          <w:sz w:val="21"/>
          <w:szCs w:val="21"/>
        </w:rPr>
        <w:t xml:space="preserve">The system was built end-to-end: from synthetic data generation and model training, through a FastAPI backend with async database persistence, to a React dashboard deployed live on Vercel and Render. Every decision is logged, explainable, and auditable.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Outcome</w:t>
            </w:r>
          </w:p>
        </w:tc>
        <w:tc>
          <w:tcPr>
            <w:tcW w:type="dxa" w:w="716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Detail</w:t>
            </w:r>
          </w:p>
        </w:tc>
      </w:tr>
      <w:tr>
        <w:tc>
          <w:tcPr>
            <w:tcW w:type="dxa" w:w="22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Risk Model</w:t>
            </w:r>
          </w:p>
        </w:tc>
        <w:tc>
          <w:tcPr>
            <w:tcW w:type="dxa" w:w="71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Calibrated XGBoost — AUROC 0.823, Brier Score 0.141, temporal train/val split</w:t>
            </w:r>
          </w:p>
        </w:tc>
      </w:tr>
      <w:tr>
        <w:tc>
          <w:tcPr>
            <w:tcW w:type="dxa" w:w="22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Decision Layer</w:t>
            </w:r>
          </w:p>
        </w:tc>
        <w:tc>
          <w:tcPr>
            <w:tcW w:type="dxa" w:w="71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S-Learner uplift modeling estimates per-patient ROI for SMS, call, and overbooking</w:t>
            </w:r>
          </w:p>
        </w:tc>
      </w:tr>
      <w:tr>
        <w:tc>
          <w:tcPr>
            <w:tcW w:type="dxa" w:w="22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API</w:t>
            </w:r>
          </w:p>
        </w:tc>
        <w:tc>
          <w:tcPr>
            <w:tcW w:type="dxa" w:w="71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FastAPI + async SQLAlchemy, full audit trail, outcome recording for feedback loop</w:t>
            </w:r>
          </w:p>
        </w:tc>
      </w:tr>
      <w:tr>
        <w:tc>
          <w:tcPr>
            <w:tcW w:type="dxa" w:w="22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Monitoring</w:t>
            </w:r>
          </w:p>
        </w:tc>
        <w:tc>
          <w:tcPr>
            <w:tcW w:type="dxa" w:w="71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PSI feature drift detection, per-subgroup fairness analysis, governance checklist</w:t>
            </w:r>
          </w:p>
        </w:tc>
      </w:tr>
      <w:tr>
        <w:tc>
          <w:tcPr>
            <w:tcW w:type="dxa" w:w="22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Deployment</w:t>
            </w:r>
          </w:p>
        </w:tc>
        <w:tc>
          <w:tcPr>
            <w:tcW w:type="dxa" w:w="71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Render (backend) + Vercel (frontend) — fully live, zero cost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20"/>
        <w:gridCol w:w="8640"/>
      </w:tblGrid>
      <w:tr>
        <w:tc>
          <w:tcPr>
            <w:tcW w:type="dxa" w:w="720"/>
            <w:tcBorders>
              <w:top w:val="single" w:color="0D2B45" w:sz="0"/>
              <w:left w:val="single" w:color="0D2B45" w:sz="0"/>
              <w:bottom w:val="single" w:color="0D2B45" w:sz="0"/>
              <w:right w:val="single" w:color="0D2B45" w:sz="0"/>
            </w:tcBorders>
            <w:shd w:fill="0D2B45"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2</w:t>
            </w:r>
          </w:p>
        </w:tc>
        <w:tc>
          <w:tcPr>
            <w:tcW w:type="dxa" w:w="8640"/>
            <w:tcBorders>
              <w:top w:val="single" w:color="0D2B45" w:sz="1"/>
              <w:left w:val="nil" w:color="FFFFFF" w:sz="0"/>
              <w:bottom w:val="single" w:color="0D2B45" w:sz="1"/>
              <w:right w:val="single" w:color="0D2B45" w:sz="1"/>
            </w:tcBorders>
            <w:shd w:fill="E8F4F8" w:val="clear"/>
            <w:tcMar>
              <w:top w:type="dxa" w:w="120"/>
              <w:left w:type="dxa" w:w="200"/>
              <w:bottom w:type="dxa" w:w="120"/>
              <w:right w:type="dxa" w:w="100"/>
            </w:tcMar>
            <w:vAlign w:val="center"/>
          </w:tcPr>
          <w:p>
            <w:r>
              <w:rPr>
                <w:rFonts w:ascii="Arial" w:cs="Arial" w:eastAsia="Arial" w:hAnsi="Arial"/>
                <w:b/>
                <w:bCs/>
                <w:color w:val="0D2B45"/>
                <w:sz w:val="26"/>
                <w:szCs w:val="26"/>
              </w:rPr>
              <w:t xml:space="preserve">Motivation &amp; Problem Statement</w:t>
            </w:r>
          </w:p>
        </w:tc>
      </w:tr>
    </w:tbl>
    <w:p>
      <w:pPr>
        <w:spacing w:after="0" w:before="80"/>
      </w:pPr>
    </w:p>
    <w:p>
      <w:pPr>
        <w:spacing w:after="40" w:before="200"/>
      </w:pPr>
      <w:r>
        <w:rPr>
          <w:rFonts w:ascii="Arial" w:cs="Arial" w:eastAsia="Arial" w:hAnsi="Arial"/>
          <w:b/>
          <w:bCs/>
          <w:color w:val="1A5276"/>
          <w:sz w:val="26"/>
          <w:szCs w:val="26"/>
        </w:rPr>
        <w:t xml:space="preserve">The No-Show Problem</w:t>
      </w:r>
    </w:p>
    <w:p>
      <w:pPr>
        <w:spacing w:after="100" w:before="0"/>
      </w:pPr>
      <w:r>
        <w:rPr>
          <w:rFonts w:ascii="Arial" w:cs="Arial" w:eastAsia="Arial" w:hAnsi="Arial"/>
          <w:color w:val="1C2833"/>
          <w:sz w:val="21"/>
          <w:szCs w:val="21"/>
        </w:rPr>
        <w:t xml:space="preserve">Appointment no-shows cost healthcare systems an estimated $150 billion annually in the United States alone. Published no-show rates range from 5% to 30% depending on clinic type and patient demographics. A clinic running 50 appointments per day at a 20% no-show rate loses approximately $1,500 daily — over $375,000 annually — in direct revenue, before accounting for wasted clinical time and reduced patient access.</w:t>
      </w:r>
    </w:p>
    <w:p>
      <w:pPr>
        <w:spacing w:after="100" w:before="0"/>
      </w:pPr>
      <w:r>
        <w:rPr>
          <w:rFonts w:ascii="Arial" w:cs="Arial" w:eastAsia="Arial" w:hAnsi="Arial"/>
          <w:color w:val="1C2833"/>
          <w:sz w:val="21"/>
          <w:szCs w:val="21"/>
        </w:rPr>
        <w:t xml:space="preserve">The standard ML response has been prediction: build a model that scores each patient on their likelihood to miss their appointment. These systems are technically competent but operationally incomplete. A classifier that outputs 0.70 for a patient leaves clinic staff with a number and no guidance. The decision of what to do — call the patient, send a reminder, overbook the slot, do nothing — still requires human judgment without supporting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A5276" w:sz="6"/>
              <w:left w:val="single" w:color="1A5276" w:sz="18"/>
              <w:bottom w:val="single" w:color="1A5276" w:sz="2"/>
              <w:right w:val="single" w:color="1A5276" w:sz="2"/>
            </w:tcBorders>
            <w:shd w:fill="E8F4F8" w:val="clear"/>
            <w:tcMar>
              <w:top w:type="dxa" w:w="120"/>
              <w:left w:type="dxa" w:w="240"/>
              <w:bottom w:type="dxa" w:w="120"/>
              <w:right w:type="dxa" w:w="160"/>
            </w:tcMar>
          </w:tcPr>
          <w:p>
            <w:pPr>
              <w:spacing w:after="40" w:before="0"/>
            </w:pPr>
            <w:r>
              <w:rPr>
                <w:rFonts w:ascii="Arial" w:cs="Arial" w:eastAsia="Arial" w:hAnsi="Arial"/>
                <w:b/>
                <w:bCs/>
                <w:color w:val="1A5276"/>
                <w:sz w:val="20"/>
                <w:szCs w:val="20"/>
              </w:rPr>
              <w:t xml:space="preserve">The Core Design Decision</w:t>
            </w:r>
          </w:p>
          <w:p>
            <w:pPr>
              <w:spacing w:after="0" w:before="0"/>
            </w:pPr>
            <w:r>
              <w:rPr>
                <w:rFonts w:ascii="Arial" w:cs="Arial" w:eastAsia="Arial" w:hAnsi="Arial"/>
                <w:color w:val="1C2833"/>
                <w:sz w:val="20"/>
                <w:szCs w:val="20"/>
              </w:rPr>
              <w:t xml:space="preserve">ClinicFlow was not designed as a classifier. It was designed as a decision system. The question it answers is not 'will this patient show up?' but 'given uncertainty about whether this patient will show up, what action maximizes clinic utilization under cost constraints?' This framing changes the metrics, the modeling approach, and the output format.</w:t>
            </w:r>
          </w:p>
        </w:tc>
      </w:tr>
    </w:tbl>
    <w:p>
      <w:pPr>
        <w:spacing w:after="0" w:before="80"/>
      </w:pPr>
    </w:p>
    <w:p>
      <w:pPr>
        <w:spacing w:after="40" w:before="200"/>
      </w:pPr>
      <w:r>
        <w:rPr>
          <w:rFonts w:ascii="Arial" w:cs="Arial" w:eastAsia="Arial" w:hAnsi="Arial"/>
          <w:b/>
          <w:bCs/>
          <w:color w:val="1A5276"/>
          <w:sz w:val="26"/>
          <w:szCs w:val="26"/>
        </w:rPr>
        <w:t xml:space="preserve">Why This Is Not a Kaggle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Dimension</w:t>
            </w:r>
          </w:p>
        </w:tc>
        <w:tc>
          <w:tcPr>
            <w:tcW w:type="dxa" w:w="276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Typical ML Approach</w:t>
            </w:r>
          </w:p>
        </w:tc>
        <w:tc>
          <w:tcPr>
            <w:tcW w:type="dxa" w:w="420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ClinicFlow</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Primary goal</w:t>
            </w:r>
          </w:p>
        </w:tc>
        <w:tc>
          <w:tcPr>
            <w:tcW w:type="dxa" w:w="27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Maximize AUC</w:t>
            </w:r>
          </w:p>
        </w:tc>
        <w:tc>
          <w:tcPr>
            <w:tcW w:type="dxa" w:w="42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Maximize clinic utilization</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Model output</w:t>
            </w:r>
          </w:p>
        </w:tc>
        <w:tc>
          <w:tcPr>
            <w:tcW w:type="dxa" w:w="27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Probability</w:t>
            </w:r>
          </w:p>
        </w:tc>
        <w:tc>
          <w:tcPr>
            <w:tcW w:type="dxa" w:w="420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Decision + expected $ gain</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Modeling</w:t>
            </w:r>
          </w:p>
        </w:tc>
        <w:tc>
          <w:tcPr>
            <w:tcW w:type="dxa" w:w="27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Single classifier</w:t>
            </w:r>
          </w:p>
        </w:tc>
        <w:tc>
          <w:tcPr>
            <w:tcW w:type="dxa" w:w="42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Risk + uplift models per action</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Metrics</w:t>
            </w:r>
          </w:p>
        </w:tc>
        <w:tc>
          <w:tcPr>
            <w:tcW w:type="dxa" w:w="27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Accuracy / AUROC</w:t>
            </w:r>
          </w:p>
        </w:tc>
        <w:tc>
          <w:tcPr>
            <w:tcW w:type="dxa" w:w="420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Business impact + calibration + fairness</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Deployment</w:t>
            </w:r>
          </w:p>
        </w:tc>
        <w:tc>
          <w:tcPr>
            <w:tcW w:type="dxa" w:w="27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Jupyter notebook</w:t>
            </w:r>
          </w:p>
        </w:tc>
        <w:tc>
          <w:tcPr>
            <w:tcW w:type="dxa" w:w="42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Production API + async DB</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Governance</w:t>
            </w:r>
          </w:p>
        </w:tc>
        <w:tc>
          <w:tcPr>
            <w:tcW w:type="dxa" w:w="27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None</w:t>
            </w:r>
          </w:p>
        </w:tc>
        <w:tc>
          <w:tcPr>
            <w:tcW w:type="dxa" w:w="420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Drift monitoring, fairness audits, audit log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20"/>
        <w:gridCol w:w="8640"/>
      </w:tblGrid>
      <w:tr>
        <w:tc>
          <w:tcPr>
            <w:tcW w:type="dxa" w:w="720"/>
            <w:tcBorders>
              <w:top w:val="single" w:color="0D2B45" w:sz="0"/>
              <w:left w:val="single" w:color="0D2B45" w:sz="0"/>
              <w:bottom w:val="single" w:color="0D2B45" w:sz="0"/>
              <w:right w:val="single" w:color="0D2B45" w:sz="0"/>
            </w:tcBorders>
            <w:shd w:fill="0D2B45"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3</w:t>
            </w:r>
          </w:p>
        </w:tc>
        <w:tc>
          <w:tcPr>
            <w:tcW w:type="dxa" w:w="8640"/>
            <w:tcBorders>
              <w:top w:val="single" w:color="0D2B45" w:sz="1"/>
              <w:left w:val="nil" w:color="FFFFFF" w:sz="0"/>
              <w:bottom w:val="single" w:color="0D2B45" w:sz="1"/>
              <w:right w:val="single" w:color="0D2B45" w:sz="1"/>
            </w:tcBorders>
            <w:shd w:fill="E8F4F8" w:val="clear"/>
            <w:tcMar>
              <w:top w:type="dxa" w:w="120"/>
              <w:left w:type="dxa" w:w="200"/>
              <w:bottom w:type="dxa" w:w="120"/>
              <w:right w:type="dxa" w:w="100"/>
            </w:tcMar>
            <w:vAlign w:val="center"/>
          </w:tcPr>
          <w:p>
            <w:r>
              <w:rPr>
                <w:rFonts w:ascii="Arial" w:cs="Arial" w:eastAsia="Arial" w:hAnsi="Arial"/>
                <w:b/>
                <w:bCs/>
                <w:color w:val="0D2B45"/>
                <w:sz w:val="26"/>
                <w:szCs w:val="26"/>
              </w:rPr>
              <w:t xml:space="preserve">System Design</w:t>
            </w:r>
          </w:p>
        </w:tc>
      </w:tr>
    </w:tbl>
    <w:p>
      <w:pPr>
        <w:spacing w:after="0" w:before="80"/>
      </w:pPr>
    </w:p>
    <w:p>
      <w:pPr>
        <w:spacing w:after="40" w:before="200"/>
      </w:pPr>
      <w:r>
        <w:rPr>
          <w:rFonts w:ascii="Arial" w:cs="Arial" w:eastAsia="Arial" w:hAnsi="Arial"/>
          <w:b/>
          <w:bCs/>
          <w:color w:val="1A5276"/>
          <w:sz w:val="26"/>
          <w:szCs w:val="26"/>
        </w:rPr>
        <w:t xml:space="preserve">Architecture Overview</w:t>
      </w:r>
    </w:p>
    <w:p>
      <w:pPr>
        <w:spacing w:after="100" w:before="0"/>
      </w:pPr>
      <w:r>
        <w:rPr>
          <w:rFonts w:ascii="Arial" w:cs="Arial" w:eastAsia="Arial" w:hAnsi="Arial"/>
          <w:color w:val="1C2833"/>
          <w:sz w:val="21"/>
          <w:szCs w:val="21"/>
        </w:rPr>
        <w:t xml:space="preserve">ClinicFlow is a three-layer system: data &amp; training, backend API, and frontend dashboard. These layers are deliberately decoupled so each can evolve independently — the frontend doesn't know whether the backend is using XGBoost or a neural network, and the training pipeline doesn't know how the API structures its responses.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Layer</w:t>
            </w:r>
          </w:p>
        </w:tc>
        <w:tc>
          <w:tcPr>
            <w:tcW w:type="dxa" w:w="736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Components</w:t>
            </w:r>
          </w:p>
        </w:tc>
      </w:tr>
      <w:tr>
        <w:tc>
          <w:tcPr>
            <w:tcW w:type="dxa" w:w="20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Data &amp; Training</w:t>
            </w:r>
          </w:p>
        </w:tc>
        <w:tc>
          <w:tcPr>
            <w:tcW w:type="dxa" w:w="73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generate_data.py (50k synthetic records), train_models.py (XGBoost + LR baseline + S-Learner uplift), artifacts/ (versioned .pkl files with model metadata)</w:t>
            </w:r>
          </w:p>
        </w:tc>
      </w:tr>
      <w:tr>
        <w:tc>
          <w:tcPr>
            <w:tcW w:type="dxa" w:w="20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Backend API</w:t>
            </w:r>
          </w:p>
        </w:tc>
        <w:tc>
          <w:tcPr>
            <w:tcW w:type="dxa" w:w="73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FastAPI + SQLAlchemy async, 4 routers (appointments, predictions, monitoring, admin), SQLite database, singleton model registry, full audit logging</w:t>
            </w:r>
          </w:p>
        </w:tc>
      </w:tr>
      <w:tr>
        <w:tc>
          <w:tcPr>
            <w:tcW w:type="dxa" w:w="20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Frontend</w:t>
            </w:r>
          </w:p>
        </w:tc>
        <w:tc>
          <w:tcPr>
            <w:tcW w:type="dxa" w:w="73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React + Vite + Tailwind, 4 pages (Dashboard, Queue, Predict, Monitoring), Recharts visualizations, live API integration via VITE_API_URL env var</w:t>
            </w:r>
          </w:p>
        </w:tc>
      </w:tr>
    </w:tbl>
    <w:p>
      <w:pPr>
        <w:spacing w:after="0" w:before="100"/>
      </w:pPr>
    </w:p>
    <w:p>
      <w:pPr>
        <w:spacing w:after="40" w:before="200"/>
      </w:pPr>
      <w:r>
        <w:rPr>
          <w:rFonts w:ascii="Arial" w:cs="Arial" w:eastAsia="Arial" w:hAnsi="Arial"/>
          <w:b/>
          <w:bCs/>
          <w:color w:val="1A5276"/>
          <w:sz w:val="26"/>
          <w:szCs w:val="26"/>
        </w:rPr>
        <w:t xml:space="preserve">Backend Architecture</w:t>
      </w:r>
    </w:p>
    <w:p>
      <w:pPr>
        <w:spacing w:after="30" w:before="160"/>
      </w:pPr>
      <w:r>
        <w:rPr>
          <w:rFonts w:ascii="Arial" w:cs="Arial" w:eastAsia="Arial" w:hAnsi="Arial"/>
          <w:b/>
          <w:bCs/>
          <w:color w:val="2E86C1"/>
          <w:sz w:val="22"/>
          <w:szCs w:val="22"/>
        </w:rPr>
        <w:t xml:space="preserve">Lifespan &amp; Model Registry</w:t>
      </w:r>
    </w:p>
    <w:p>
      <w:pPr>
        <w:spacing w:after="100" w:before="0"/>
      </w:pPr>
      <w:r>
        <w:rPr>
          <w:rFonts w:ascii="Arial" w:cs="Arial" w:eastAsia="Arial" w:hAnsi="Arial"/>
          <w:color w:val="1C2833"/>
          <w:sz w:val="21"/>
          <w:szCs w:val="21"/>
        </w:rPr>
        <w:t xml:space="preserve">Models are loaded once at application startup via FastAPI's lifespan context manager and held in a class-level singleton (ModelRegistry). This eliminates the 200-500ms latency that would result from loading 50MB+ of pickle files on every request. The registry also handles graceful degradation — if artifacts are missing, inference falls back to a heuristic mock and logs a warning rather than returning a 500 error.</w:t>
      </w:r>
    </w:p>
    <w:p>
      <w:pPr>
        <w:spacing w:after="30" w:before="160"/>
      </w:pPr>
      <w:r>
        <w:rPr>
          <w:rFonts w:ascii="Arial" w:cs="Arial" w:eastAsia="Arial" w:hAnsi="Arial"/>
          <w:b/>
          <w:bCs/>
          <w:color w:val="2E86C1"/>
          <w:sz w:val="22"/>
          <w:szCs w:val="22"/>
        </w:rPr>
        <w:t xml:space="preserve">Inference Pipeline (per request)</w:t>
      </w:r>
    </w:p>
    <w:p>
      <w:pPr>
        <w:pStyle w:val="ListParagraph"/>
        <w:numPr>
          <w:ilvl w:val="0"/>
          <w:numId w:val="2"/>
        </w:numPr>
        <w:spacing w:after="20" w:before="20"/>
      </w:pPr>
      <w:r>
        <w:rPr>
          <w:rFonts w:ascii="Arial" w:cs="Arial" w:eastAsia="Arial" w:hAnsi="Arial"/>
          <w:color w:val="1C2833"/>
          <w:sz w:val="21"/>
          <w:szCs w:val="21"/>
        </w:rPr>
        <w:t xml:space="preserve">Load appointment record from database</w:t>
      </w:r>
    </w:p>
    <w:p>
      <w:pPr>
        <w:pStyle w:val="ListParagraph"/>
        <w:numPr>
          <w:ilvl w:val="0"/>
          <w:numId w:val="2"/>
        </w:numPr>
        <w:spacing w:after="20" w:before="20"/>
      </w:pPr>
      <w:r>
        <w:rPr>
          <w:rFonts w:ascii="Arial" w:cs="Arial" w:eastAsia="Arial" w:hAnsi="Arial"/>
          <w:color w:val="1C2833"/>
          <w:sz w:val="21"/>
          <w:szCs w:val="21"/>
        </w:rPr>
        <w:t xml:space="preserve">Compute 18-feature engineered vector (all features available at scheduling time — no leakage)</w:t>
      </w:r>
    </w:p>
    <w:p>
      <w:pPr>
        <w:pStyle w:val="ListParagraph"/>
        <w:numPr>
          <w:ilvl w:val="0"/>
          <w:numId w:val="2"/>
        </w:numPr>
        <w:spacing w:after="20" w:before="20"/>
      </w:pPr>
      <w:r>
        <w:rPr>
          <w:rFonts w:ascii="Arial" w:cs="Arial" w:eastAsia="Arial" w:hAnsi="Arial"/>
          <w:color w:val="1C2833"/>
          <w:sz w:val="21"/>
          <w:szCs w:val="21"/>
        </w:rPr>
        <w:t xml:space="preserve">Run calibrated XGBoost to get P(no-show)</w:t>
      </w:r>
    </w:p>
    <w:p>
      <w:pPr>
        <w:pStyle w:val="ListParagraph"/>
        <w:numPr>
          <w:ilvl w:val="0"/>
          <w:numId w:val="2"/>
        </w:numPr>
        <w:spacing w:after="20" w:before="20"/>
      </w:pPr>
      <w:r>
        <w:rPr>
          <w:rFonts w:ascii="Arial" w:cs="Arial" w:eastAsia="Arial" w:hAnsi="Arial"/>
          <w:color w:val="1C2833"/>
          <w:sz w:val="21"/>
          <w:szCs w:val="21"/>
        </w:rPr>
        <w:t xml:space="preserve">Query S-Learner uplift models for delta per intervention</w:t>
      </w:r>
    </w:p>
    <w:p>
      <w:pPr>
        <w:pStyle w:val="ListParagraph"/>
        <w:numPr>
          <w:ilvl w:val="0"/>
          <w:numId w:val="2"/>
        </w:numPr>
        <w:spacing w:after="20" w:before="20"/>
      </w:pPr>
      <w:r>
        <w:rPr>
          <w:rFonts w:ascii="Arial" w:cs="Arial" w:eastAsia="Arial" w:hAnsi="Arial"/>
          <w:color w:val="1C2833"/>
          <w:sz w:val="21"/>
          <w:szCs w:val="21"/>
        </w:rPr>
        <w:t xml:space="preserve">Compute expected net value: delta x $150 revenue - intervention cost</w:t>
      </w:r>
    </w:p>
    <w:p>
      <w:pPr>
        <w:pStyle w:val="ListParagraph"/>
        <w:numPr>
          <w:ilvl w:val="0"/>
          <w:numId w:val="2"/>
        </w:numPr>
        <w:spacing w:after="20" w:before="20"/>
      </w:pPr>
      <w:r>
        <w:rPr>
          <w:rFonts w:ascii="Arial" w:cs="Arial" w:eastAsia="Arial" w:hAnsi="Arial"/>
          <w:color w:val="1C2833"/>
          <w:sz w:val="21"/>
          <w:szCs w:val="21"/>
        </w:rPr>
        <w:t xml:space="preserve">Apply decision policy to select optimal action</w:t>
      </w:r>
    </w:p>
    <w:p>
      <w:pPr>
        <w:pStyle w:val="ListParagraph"/>
        <w:numPr>
          <w:ilvl w:val="0"/>
          <w:numId w:val="2"/>
        </w:numPr>
        <w:spacing w:after="20" w:before="20"/>
      </w:pPr>
      <w:r>
        <w:rPr>
          <w:rFonts w:ascii="Arial" w:cs="Arial" w:eastAsia="Arial" w:hAnsi="Arial"/>
          <w:color w:val="1C2833"/>
          <w:sz w:val="21"/>
          <w:szCs w:val="21"/>
        </w:rPr>
        <w:t xml:space="preserve">Generate plain-language rationale with top feature attributions from model importances</w:t>
      </w:r>
    </w:p>
    <w:p>
      <w:pPr>
        <w:pStyle w:val="ListParagraph"/>
        <w:numPr>
          <w:ilvl w:val="0"/>
          <w:numId w:val="2"/>
        </w:numPr>
        <w:spacing w:after="20" w:before="20"/>
      </w:pPr>
      <w:r>
        <w:rPr>
          <w:rFonts w:ascii="Arial" w:cs="Arial" w:eastAsia="Arial" w:hAnsi="Arial"/>
          <w:color w:val="1C2833"/>
          <w:sz w:val="21"/>
          <w:szCs w:val="21"/>
        </w:rPr>
        <w:t xml:space="preserve">Persist prediction log + audit entry to database</w:t>
      </w:r>
    </w:p>
    <w:p>
      <w:pPr>
        <w:spacing w:after="0" w:before="100"/>
      </w:pPr>
    </w:p>
    <w:p>
      <w:pPr>
        <w:spacing w:after="40" w:before="200"/>
      </w:pPr>
      <w:r>
        <w:rPr>
          <w:rFonts w:ascii="Arial" w:cs="Arial" w:eastAsia="Arial" w:hAnsi="Arial"/>
          <w:b/>
          <w:bCs/>
          <w:color w:val="1A5276"/>
          <w:sz w:val="26"/>
          <w:szCs w:val="26"/>
        </w:rPr>
        <w:t xml:space="preserve">Frontend Architecture</w:t>
      </w:r>
    </w:p>
    <w:p>
      <w:pPr>
        <w:spacing w:after="100" w:before="0"/>
      </w:pPr>
      <w:r>
        <w:rPr>
          <w:rFonts w:ascii="Arial" w:cs="Arial" w:eastAsia="Arial" w:hAnsi="Arial"/>
          <w:color w:val="1C2833"/>
          <w:sz w:val="21"/>
          <w:szCs w:val="21"/>
        </w:rPr>
        <w:t xml:space="preserve">Four pages serve distinct user needs. The Dashboard gives clinic managers an operational overview with KPIs and weekly trend charts. The Appointments page is a filterable queue showing pre-scored risk with key signals highlighted. The Predictions page — the core interactive feature — loads real appointments from the live API and runs on-demand inference when a staff member clicks a patient. The Monitoring page is oriented toward ML engineers overseeing model health.</w:t>
      </w:r>
    </w:p>
    <w:p>
      <w:pPr>
        <w:spacing w:after="100" w:before="0"/>
      </w:pPr>
      <w:r>
        <w:rPr>
          <w:rFonts w:ascii="Arial" w:cs="Arial" w:eastAsia="Arial" w:hAnsi="Arial"/>
          <w:color w:val="1C2833"/>
          <w:sz w:val="21"/>
          <w:szCs w:val="21"/>
        </w:rPr>
        <w:t xml:space="preserve">The Predictions page caches inference results in React component state so repeated clicks on the same appointment are instant. The risk gauge is a custom SVG component — charting libraries don't offer semicircle gauges with needle indicators out of the box, so it was built directly in SVG with parametric path calculations.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20"/>
        <w:gridCol w:w="8640"/>
      </w:tblGrid>
      <w:tr>
        <w:tc>
          <w:tcPr>
            <w:tcW w:type="dxa" w:w="720"/>
            <w:tcBorders>
              <w:top w:val="single" w:color="0D2B45" w:sz="0"/>
              <w:left w:val="single" w:color="0D2B45" w:sz="0"/>
              <w:bottom w:val="single" w:color="0D2B45" w:sz="0"/>
              <w:right w:val="single" w:color="0D2B45" w:sz="0"/>
            </w:tcBorders>
            <w:shd w:fill="0D2B45"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4</w:t>
            </w:r>
          </w:p>
        </w:tc>
        <w:tc>
          <w:tcPr>
            <w:tcW w:type="dxa" w:w="8640"/>
            <w:tcBorders>
              <w:top w:val="single" w:color="0D2B45" w:sz="1"/>
              <w:left w:val="nil" w:color="FFFFFF" w:sz="0"/>
              <w:bottom w:val="single" w:color="0D2B45" w:sz="1"/>
              <w:right w:val="single" w:color="0D2B45" w:sz="1"/>
            </w:tcBorders>
            <w:shd w:fill="E8F4F8" w:val="clear"/>
            <w:tcMar>
              <w:top w:type="dxa" w:w="120"/>
              <w:left w:type="dxa" w:w="200"/>
              <w:bottom w:type="dxa" w:w="120"/>
              <w:right w:type="dxa" w:w="100"/>
            </w:tcMar>
            <w:vAlign w:val="center"/>
          </w:tcPr>
          <w:p>
            <w:r>
              <w:rPr>
                <w:rFonts w:ascii="Arial" w:cs="Arial" w:eastAsia="Arial" w:hAnsi="Arial"/>
                <w:b/>
                <w:bCs/>
                <w:color w:val="0D2B45"/>
                <w:sz w:val="26"/>
                <w:szCs w:val="26"/>
              </w:rPr>
              <w:t xml:space="preserve">Machine Learning System</w:t>
            </w:r>
          </w:p>
        </w:tc>
      </w:tr>
    </w:tbl>
    <w:p>
      <w:pPr>
        <w:spacing w:after="0" w:before="80"/>
      </w:pPr>
    </w:p>
    <w:p>
      <w:pPr>
        <w:spacing w:after="40" w:before="200"/>
      </w:pPr>
      <w:r>
        <w:rPr>
          <w:rFonts w:ascii="Arial" w:cs="Arial" w:eastAsia="Arial" w:hAnsi="Arial"/>
          <w:b/>
          <w:bCs/>
          <w:color w:val="1A5276"/>
          <w:sz w:val="26"/>
          <w:szCs w:val="26"/>
        </w:rPr>
        <w:t xml:space="preserve">Feature Engineering</w:t>
      </w:r>
    </w:p>
    <w:p>
      <w:pPr>
        <w:spacing w:after="100" w:before="0"/>
      </w:pPr>
      <w:r>
        <w:rPr>
          <w:rFonts w:ascii="Arial" w:cs="Arial" w:eastAsia="Arial" w:hAnsi="Arial"/>
          <w:color w:val="1C2833"/>
          <w:sz w:val="21"/>
          <w:szCs w:val="21"/>
        </w:rPr>
        <w:t xml:space="preserve">Feature engineering is the most consequential part of the pipeline. The strict constraint — all features must be computable at scheduling time — prevents data leakage and ensures the model's performance in evaluation reflects its actual deployment conditions.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Category</w:t>
            </w:r>
          </w:p>
        </w:tc>
        <w:tc>
          <w:tcPr>
            <w:tcW w:type="dxa" w:w="320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Features</w:t>
            </w:r>
          </w:p>
        </w:tc>
        <w:tc>
          <w:tcPr>
            <w:tcW w:type="dxa" w:w="436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Why It Matters</w:t>
            </w:r>
          </w:p>
        </w:tc>
      </w:tr>
      <w:tr>
        <w:tc>
          <w:tcPr>
            <w:tcW w:type="dxa" w:w="18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Temporal</w:t>
            </w:r>
          </w:p>
        </w:tc>
        <w:tc>
          <w:tcPr>
            <w:tcW w:type="dxa" w:w="32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lead_time_days, day_of_week, hour_of_day, is_monday, is_friday, is_morning, is_afternoon</w:t>
            </w:r>
          </w:p>
        </w:tc>
        <w:tc>
          <w:tcPr>
            <w:tcW w:type="dxa" w:w="43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Appointments booked weeks out and end-of-week/late-day slots show higher no-show rates across clinical literature</w:t>
            </w:r>
          </w:p>
        </w:tc>
      </w:tr>
      <w:tr>
        <w:tc>
          <w:tcPr>
            <w:tcW w:type="dxa" w:w="18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Behavioral</w:t>
            </w:r>
          </w:p>
        </w:tc>
        <w:tc>
          <w:tcPr>
            <w:tcW w:type="dxa" w:w="320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historical_noshow_rate, prior_noshows, prior_appointments, rolling_attendance_3, is_first_appointment</w:t>
            </w:r>
          </w:p>
        </w:tc>
        <w:tc>
          <w:tcPr>
            <w:tcW w:type="dxa" w:w="43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Past behavior is the strongest predictor; first-timers receive a population prior (0.15) rather than zero</w:t>
            </w:r>
          </w:p>
        </w:tc>
      </w:tr>
      <w:tr>
        <w:tc>
          <w:tcPr>
            <w:tcW w:type="dxa" w:w="18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Contextual</w:t>
            </w:r>
          </w:p>
        </w:tc>
        <w:tc>
          <w:tcPr>
            <w:tcW w:type="dxa" w:w="320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clinic_load_pct</w:t>
            </w:r>
          </w:p>
        </w:tc>
        <w:tc>
          <w:tcPr>
            <w:tcW w:type="dxa" w:w="43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High-load clinics correlate with longer waits, increasing patient abandonment risk</w:t>
            </w:r>
          </w:p>
        </w:tc>
      </w:tr>
      <w:tr>
        <w:tc>
          <w:tcPr>
            <w:tcW w:type="dxa" w:w="18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Demographic</w:t>
            </w:r>
          </w:p>
        </w:tc>
        <w:tc>
          <w:tcPr>
            <w:tcW w:type="dxa" w:w="320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age_group (4 buckets), has_chronic_condition</w:t>
            </w:r>
          </w:p>
        </w:tc>
        <w:tc>
          <w:tcPr>
            <w:tcW w:type="dxa" w:w="43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Carefully bucketed to limit discrimination exposure; chronic patients are more motivated to attend</w:t>
            </w:r>
          </w:p>
        </w:tc>
      </w:tr>
    </w:tbl>
    <w:p>
      <w:pPr>
        <w:spacing w:after="0" w:before="100"/>
      </w:pPr>
    </w:p>
    <w:p>
      <w:pPr>
        <w:spacing w:after="40" w:before="200"/>
      </w:pPr>
      <w:r>
        <w:rPr>
          <w:rFonts w:ascii="Arial" w:cs="Arial" w:eastAsia="Arial" w:hAnsi="Arial"/>
          <w:b/>
          <w:bCs/>
          <w:color w:val="1A5276"/>
          <w:sz w:val="26"/>
          <w:szCs w:val="26"/>
        </w:rPr>
        <w:t xml:space="preserve">Risk Model</w:t>
      </w:r>
    </w:p>
    <w:p>
      <w:pPr>
        <w:spacing w:after="30" w:before="160"/>
      </w:pPr>
      <w:r>
        <w:rPr>
          <w:rFonts w:ascii="Arial" w:cs="Arial" w:eastAsia="Arial" w:hAnsi="Arial"/>
          <w:b/>
          <w:bCs/>
          <w:color w:val="2E86C1"/>
          <w:sz w:val="22"/>
          <w:szCs w:val="22"/>
        </w:rPr>
        <w:t xml:space="preserve">Model Selection &amp; Calibration</w:t>
      </w:r>
    </w:p>
    <w:p>
      <w:pPr>
        <w:spacing w:after="100" w:before="0"/>
      </w:pPr>
      <w:r>
        <w:rPr>
          <w:rFonts w:ascii="Arial" w:cs="Arial" w:eastAsia="Arial" w:hAnsi="Arial"/>
          <w:color w:val="1C2833"/>
          <w:sz w:val="21"/>
          <w:szCs w:val="21"/>
        </w:rPr>
        <w:t xml:space="preserve">Two models were trained in parallel: Logistic Regression as an interpretable baseline, and XGBoost as the production model. XGBoost was selected over LightGBM specifically for deployment reliability — LightGBM requires OpenMP shared libraries that are absent from Render's free tier containers, causing installation failure. XGBoost builds without these dependencies.</w:t>
      </w:r>
    </w:p>
    <w:p>
      <w:pPr>
        <w:spacing w:after="100" w:before="0"/>
      </w:pPr>
      <w:r>
        <w:rPr>
          <w:rFonts w:ascii="Arial" w:cs="Arial" w:eastAsia="Arial" w:hAnsi="Arial"/>
          <w:color w:val="1C2833"/>
          <w:sz w:val="21"/>
          <w:szCs w:val="21"/>
        </w:rPr>
        <w:t xml:space="preserve">Raw classifier scores are not probabilities — they can be systematically biased. A model outputting 0.70 for patients who actually no-show at 0.50 will generate over-interventions. ClinicFlow wraps XGBoost in an isotonic regression calibrator (CalibratedClassifierCV, method='isotonic') fitted on the held-out validation set.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7D6608" w:sz="6"/>
              <w:left w:val="single" w:color="7D6608" w:sz="18"/>
              <w:bottom w:val="single" w:color="7D6608" w:sz="2"/>
              <w:right w:val="single" w:color="7D6608" w:sz="2"/>
            </w:tcBorders>
            <w:shd w:fill="FDFBD8" w:val="clear"/>
            <w:tcMar>
              <w:top w:type="dxa" w:w="120"/>
              <w:left w:type="dxa" w:w="240"/>
              <w:bottom w:type="dxa" w:w="120"/>
              <w:right w:type="dxa" w:w="160"/>
            </w:tcMar>
          </w:tcPr>
          <w:p>
            <w:pPr>
              <w:spacing w:after="40" w:before="0"/>
            </w:pPr>
            <w:r>
              <w:rPr>
                <w:rFonts w:ascii="Arial" w:cs="Arial" w:eastAsia="Arial" w:hAnsi="Arial"/>
                <w:b/>
                <w:bCs/>
                <w:color w:val="7D6608"/>
                <w:sz w:val="20"/>
                <w:szCs w:val="20"/>
              </w:rPr>
              <w:t xml:space="preserve">Why Calibration Is Financially Material</w:t>
            </w:r>
          </w:p>
          <w:p>
            <w:pPr>
              <w:spacing w:after="0" w:before="0"/>
            </w:pPr>
            <w:r>
              <w:rPr>
                <w:rFonts w:ascii="Arial" w:cs="Arial" w:eastAsia="Arial" w:hAnsi="Arial"/>
                <w:color w:val="1C2833"/>
                <w:sz w:val="20"/>
                <w:szCs w:val="20"/>
              </w:rPr>
              <w:t xml:space="preserve">The decision policy computes expected net value as delta x $150 - cost. Miscalibration of 15 percentage points shifts dollar estimates by $22.50 per patient. At 800 predictions per week, that is $18,000 per week in misallocated intervention budget. Brier Score — which penalizes both bias and variance in probability estimates — is therefore a primary metric, not a secondary one.</w:t>
            </w:r>
          </w:p>
        </w:tc>
      </w:tr>
    </w:tbl>
    <w:p>
      <w:pPr>
        <w:spacing w:after="0" w:before="80"/>
      </w:pPr>
    </w:p>
    <w:p>
      <w:pPr>
        <w:spacing w:after="30" w:before="160"/>
      </w:pPr>
      <w:r>
        <w:rPr>
          <w:rFonts w:ascii="Arial" w:cs="Arial" w:eastAsia="Arial" w:hAnsi="Arial"/>
          <w:b/>
          <w:bCs/>
          <w:color w:val="2E86C1"/>
          <w:sz w:val="22"/>
          <w:szCs w:val="22"/>
        </w:rPr>
        <w:t xml:space="preserve">Evaluation Strategy</w:t>
      </w:r>
    </w:p>
    <w:p>
      <w:pPr>
        <w:spacing w:after="100" w:before="0"/>
      </w:pPr>
      <w:r>
        <w:rPr>
          <w:rFonts w:ascii="Arial" w:cs="Arial" w:eastAsia="Arial" w:hAnsi="Arial"/>
          <w:color w:val="1C2833"/>
          <w:sz w:val="21"/>
          <w:szCs w:val="21"/>
        </w:rPr>
        <w:t xml:space="preserve">The 50k-appointment dataset was split temporally: first 80% for training, next 10% for validation (used for calibration and threshold tuning), final 10% for test. Random splitting is the standard Kaggle approach — and it is wrong for time-series data. Random splits allow the model to see future patient history during training, inflating AUROC by 3-8 percentage points in typical clinical datasets. Temporal splitting reflects the real deployment condition.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86C1" w:sz="2"/>
              <w:left w:val="single" w:color="2E86C1" w:sz="2"/>
              <w:bottom w:val="single" w:color="2E86C1" w:sz="2"/>
              <w:right w:val="single" w:color="2E86C1" w:sz="2"/>
            </w:tcBorders>
            <w:shd w:fill="E8F4F8" w:val="clear"/>
            <w:tcMar>
              <w:top w:type="dxa" w:w="120"/>
              <w:left w:type="dxa" w:w="160"/>
              <w:bottom w:type="dxa" w:w="120"/>
              <w:right w:type="dxa" w:w="160"/>
            </w:tcMar>
          </w:tcPr>
          <w:p>
            <w:pPr>
              <w:jc w:val="center"/>
            </w:pPr>
            <w:r>
              <w:rPr>
                <w:rFonts w:ascii="Arial" w:cs="Arial" w:eastAsia="Arial" w:hAnsi="Arial"/>
                <w:b/>
                <w:bCs/>
                <w:color w:val="0D2B45"/>
                <w:sz w:val="36"/>
                <w:szCs w:val="36"/>
              </w:rPr>
              <w:t xml:space="preserve">0.823</w:t>
            </w:r>
          </w:p>
          <w:p>
            <w:pPr>
              <w:spacing w:after="0" w:before="20"/>
              <w:jc w:val="center"/>
            </w:pPr>
            <w:r>
              <w:rPr>
                <w:rFonts w:ascii="Arial" w:cs="Arial" w:eastAsia="Arial" w:hAnsi="Arial"/>
                <w:color w:val="566573"/>
                <w:sz w:val="17"/>
                <w:szCs w:val="17"/>
              </w:rPr>
              <w:t xml:space="preserve">AUROC</w:t>
            </w:r>
          </w:p>
        </w:tc>
        <w:tc>
          <w:tcPr>
            <w:tcW w:type="dxa" w:w="1872"/>
            <w:tcBorders>
              <w:top w:val="single" w:color="2E86C1" w:sz="2"/>
              <w:left w:val="single" w:color="2E86C1" w:sz="2"/>
              <w:bottom w:val="single" w:color="2E86C1" w:sz="2"/>
              <w:right w:val="single" w:color="2E86C1" w:sz="2"/>
            </w:tcBorders>
            <w:shd w:fill="F4F9FB" w:val="clear"/>
            <w:tcMar>
              <w:top w:type="dxa" w:w="120"/>
              <w:left w:type="dxa" w:w="160"/>
              <w:bottom w:type="dxa" w:w="120"/>
              <w:right w:type="dxa" w:w="160"/>
            </w:tcMar>
          </w:tcPr>
          <w:p>
            <w:pPr>
              <w:jc w:val="center"/>
            </w:pPr>
            <w:r>
              <w:rPr>
                <w:rFonts w:ascii="Arial" w:cs="Arial" w:eastAsia="Arial" w:hAnsi="Arial"/>
                <w:b/>
                <w:bCs/>
                <w:color w:val="0D2B45"/>
                <w:sz w:val="36"/>
                <w:szCs w:val="36"/>
              </w:rPr>
              <w:t xml:space="preserve">0.141</w:t>
            </w:r>
          </w:p>
          <w:p>
            <w:pPr>
              <w:spacing w:after="0" w:before="20"/>
              <w:jc w:val="center"/>
            </w:pPr>
            <w:r>
              <w:rPr>
                <w:rFonts w:ascii="Arial" w:cs="Arial" w:eastAsia="Arial" w:hAnsi="Arial"/>
                <w:color w:val="566573"/>
                <w:sz w:val="17"/>
                <w:szCs w:val="17"/>
              </w:rPr>
              <w:t xml:space="preserve">Brier Score</w:t>
            </w:r>
          </w:p>
        </w:tc>
        <w:tc>
          <w:tcPr>
            <w:tcW w:type="dxa" w:w="1872"/>
            <w:tcBorders>
              <w:top w:val="single" w:color="2E86C1" w:sz="2"/>
              <w:left w:val="single" w:color="2E86C1" w:sz="2"/>
              <w:bottom w:val="single" w:color="2E86C1" w:sz="2"/>
              <w:right w:val="single" w:color="2E86C1" w:sz="2"/>
            </w:tcBorders>
            <w:shd w:fill="E8F4F8" w:val="clear"/>
            <w:tcMar>
              <w:top w:type="dxa" w:w="120"/>
              <w:left w:type="dxa" w:w="160"/>
              <w:bottom w:type="dxa" w:w="120"/>
              <w:right w:type="dxa" w:w="160"/>
            </w:tcMar>
          </w:tcPr>
          <w:p>
            <w:pPr>
              <w:jc w:val="center"/>
            </w:pPr>
            <w:r>
              <w:rPr>
                <w:rFonts w:ascii="Arial" w:cs="Arial" w:eastAsia="Arial" w:hAnsi="Arial"/>
                <w:b/>
                <w:bCs/>
                <w:color w:val="0D2B45"/>
                <w:sz w:val="36"/>
                <w:szCs w:val="36"/>
              </w:rPr>
              <w:t xml:space="preserve">40k</w:t>
            </w:r>
          </w:p>
          <w:p>
            <w:pPr>
              <w:spacing w:after="0" w:before="20"/>
              <w:jc w:val="center"/>
            </w:pPr>
            <w:r>
              <w:rPr>
                <w:rFonts w:ascii="Arial" w:cs="Arial" w:eastAsia="Arial" w:hAnsi="Arial"/>
                <w:color w:val="566573"/>
                <w:sz w:val="17"/>
                <w:szCs w:val="17"/>
              </w:rPr>
              <w:t xml:space="preserve">Train Rows</w:t>
            </w:r>
          </w:p>
        </w:tc>
        <w:tc>
          <w:tcPr>
            <w:tcW w:type="dxa" w:w="1872"/>
            <w:tcBorders>
              <w:top w:val="single" w:color="2E86C1" w:sz="2"/>
              <w:left w:val="single" w:color="2E86C1" w:sz="2"/>
              <w:bottom w:val="single" w:color="2E86C1" w:sz="2"/>
              <w:right w:val="single" w:color="2E86C1" w:sz="2"/>
            </w:tcBorders>
            <w:shd w:fill="F4F9FB" w:val="clear"/>
            <w:tcMar>
              <w:top w:type="dxa" w:w="120"/>
              <w:left w:type="dxa" w:w="160"/>
              <w:bottom w:type="dxa" w:w="120"/>
              <w:right w:type="dxa" w:w="160"/>
            </w:tcMar>
          </w:tcPr>
          <w:p>
            <w:pPr>
              <w:jc w:val="center"/>
            </w:pPr>
            <w:r>
              <w:rPr>
                <w:rFonts w:ascii="Arial" w:cs="Arial" w:eastAsia="Arial" w:hAnsi="Arial"/>
                <w:b/>
                <w:bCs/>
                <w:color w:val="0D2B45"/>
                <w:sz w:val="36"/>
                <w:szCs w:val="36"/>
              </w:rPr>
              <w:t xml:space="preserve">5k</w:t>
            </w:r>
          </w:p>
          <w:p>
            <w:pPr>
              <w:spacing w:after="0" w:before="20"/>
              <w:jc w:val="center"/>
            </w:pPr>
            <w:r>
              <w:rPr>
                <w:rFonts w:ascii="Arial" w:cs="Arial" w:eastAsia="Arial" w:hAnsi="Arial"/>
                <w:color w:val="566573"/>
                <w:sz w:val="17"/>
                <w:szCs w:val="17"/>
              </w:rPr>
              <w:t xml:space="preserve">Val Rows</w:t>
            </w:r>
          </w:p>
        </w:tc>
        <w:tc>
          <w:tcPr>
            <w:tcW w:type="dxa" w:w="1872"/>
            <w:tcBorders>
              <w:top w:val="single" w:color="2E86C1" w:sz="2"/>
              <w:left w:val="single" w:color="2E86C1" w:sz="2"/>
              <w:bottom w:val="single" w:color="2E86C1" w:sz="2"/>
              <w:right w:val="single" w:color="2E86C1" w:sz="2"/>
            </w:tcBorders>
            <w:shd w:fill="E8F4F8" w:val="clear"/>
            <w:tcMar>
              <w:top w:type="dxa" w:w="120"/>
              <w:left w:type="dxa" w:w="160"/>
              <w:bottom w:type="dxa" w:w="120"/>
              <w:right w:type="dxa" w:w="160"/>
            </w:tcMar>
          </w:tcPr>
          <w:p>
            <w:pPr>
              <w:jc w:val="center"/>
            </w:pPr>
            <w:r>
              <w:rPr>
                <w:rFonts w:ascii="Arial" w:cs="Arial" w:eastAsia="Arial" w:hAnsi="Arial"/>
                <w:b/>
                <w:bCs/>
                <w:color w:val="0D2B45"/>
                <w:sz w:val="36"/>
                <w:szCs w:val="36"/>
              </w:rPr>
              <w:t xml:space="preserve">22%</w:t>
            </w:r>
          </w:p>
          <w:p>
            <w:pPr>
              <w:spacing w:after="0" w:before="20"/>
              <w:jc w:val="center"/>
            </w:pPr>
            <w:r>
              <w:rPr>
                <w:rFonts w:ascii="Arial" w:cs="Arial" w:eastAsia="Arial" w:hAnsi="Arial"/>
                <w:color w:val="566573"/>
                <w:sz w:val="17"/>
                <w:szCs w:val="17"/>
              </w:rPr>
              <w:t xml:space="preserve">No-Show Rate</w:t>
            </w:r>
          </w:p>
        </w:tc>
      </w:tr>
    </w:tbl>
    <w:p>
      <w:pPr>
        <w:spacing w:after="0" w:before="100"/>
      </w:pPr>
    </w:p>
    <w:p>
      <w:pPr>
        <w:spacing w:after="40" w:before="200"/>
      </w:pPr>
      <w:r>
        <w:rPr>
          <w:rFonts w:ascii="Arial" w:cs="Arial" w:eastAsia="Arial" w:hAnsi="Arial"/>
          <w:b/>
          <w:bCs/>
          <w:color w:val="1A5276"/>
          <w:sz w:val="26"/>
          <w:szCs w:val="26"/>
        </w:rPr>
        <w:t xml:space="preserve">Intervention-Aware Modeling</w:t>
      </w:r>
    </w:p>
    <w:p>
      <w:pPr>
        <w:spacing w:after="100" w:before="0"/>
      </w:pPr>
      <w:r>
        <w:rPr>
          <w:rFonts w:ascii="Arial" w:cs="Arial" w:eastAsia="Arial" w:hAnsi="Arial"/>
          <w:color w:val="1C2833"/>
          <w:sz w:val="21"/>
          <w:szCs w:val="21"/>
        </w:rPr>
        <w:t xml:space="preserve">Standard no-show prediction assumes uniform intervention efficacy — that SMS reminders reduce no-shows by the same amount for every patient. This assumption is empirically false: some patients are unresponsive to text reminders but respond to phone calls; others are already engaged and need no contact. A model that ignores this heterogeneity will both over-intervene on responsive patients and under-intervene on unresponsive ones.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A5276" w:sz="6"/>
              <w:left w:val="single" w:color="1A5276" w:sz="18"/>
              <w:bottom w:val="single" w:color="1A5276" w:sz="2"/>
              <w:right w:val="single" w:color="1A5276" w:sz="2"/>
            </w:tcBorders>
            <w:shd w:fill="E8F4F8" w:val="clear"/>
            <w:tcMar>
              <w:top w:type="dxa" w:w="120"/>
              <w:left w:type="dxa" w:w="240"/>
              <w:bottom w:type="dxa" w:w="120"/>
              <w:right w:type="dxa" w:w="160"/>
            </w:tcMar>
          </w:tcPr>
          <w:p>
            <w:pPr>
              <w:spacing w:after="40" w:before="0"/>
            </w:pPr>
            <w:r>
              <w:rPr>
                <w:rFonts w:ascii="Arial" w:cs="Arial" w:eastAsia="Arial" w:hAnsi="Arial"/>
                <w:b/>
                <w:bCs/>
                <w:color w:val="1A5276"/>
                <w:sz w:val="20"/>
                <w:szCs w:val="20"/>
              </w:rPr>
              <w:t xml:space="preserve">S-Learner Uplift Formula</w:t>
            </w:r>
          </w:p>
          <w:p>
            <w:pPr>
              <w:spacing w:after="0" w:before="0"/>
            </w:pPr>
            <w:r>
              <w:rPr>
                <w:rFonts w:ascii="Arial" w:cs="Arial" w:eastAsia="Arial" w:hAnsi="Arial"/>
                <w:color w:val="1C2833"/>
                <w:sz w:val="20"/>
                <w:szCs w:val="20"/>
              </w:rPr>
              <w:t xml:space="preserve">For each intervention i: delta_i = P(no-show | no action) - P(no-show | intervention i)
Expected Net Value_i = delta_i x $150 - cost_i
Optimal action = argmax(Expected Net Value) where net value &gt; 0
Intervention costs: SMS = $0.05  |  Phone call = $0.50  |  Overbooking = $2.00</w:t>
            </w:r>
          </w:p>
        </w:tc>
      </w:tr>
    </w:tbl>
    <w:p>
      <w:pPr>
        <w:spacing w:after="0" w:before="80"/>
      </w:pPr>
    </w:p>
    <w:p>
      <w:pPr>
        <w:spacing w:after="100" w:before="0"/>
      </w:pPr>
      <w:r>
        <w:rPr>
          <w:rFonts w:ascii="Arial" w:cs="Arial" w:eastAsia="Arial" w:hAnsi="Arial"/>
          <w:color w:val="1C2833"/>
          <w:sz w:val="21"/>
          <w:szCs w:val="21"/>
        </w:rPr>
        <w:t xml:space="preserve">In the current prototype, treatment populations are simulated. In a real deployment, this requires A/B experiment data — randomly assigning interventions to a subset of medium-risk patients over 6-8 weeks to observe actual treatment effects. This is the most significant gap between the prototype and production.</w:t>
      </w:r>
    </w:p>
    <w:p>
      <w:pPr>
        <w:spacing w:after="40" w:before="200"/>
      </w:pPr>
      <w:r>
        <w:rPr>
          <w:rFonts w:ascii="Arial" w:cs="Arial" w:eastAsia="Arial" w:hAnsi="Arial"/>
          <w:b/>
          <w:bCs/>
          <w:color w:val="1A5276"/>
          <w:sz w:val="26"/>
          <w:szCs w:val="26"/>
        </w:rPr>
        <w:t xml:space="preserve">Decision Policy</w:t>
      </w:r>
    </w:p>
    <w:p>
      <w:pPr>
        <w:spacing w:after="100" w:before="0"/>
      </w:pPr>
      <w:r>
        <w:rPr>
          <w:rFonts w:ascii="Arial" w:cs="Arial" w:eastAsia="Arial" w:hAnsi="Arial"/>
          <w:color w:val="1C2833"/>
          <w:sz w:val="21"/>
          <w:szCs w:val="21"/>
        </w:rPr>
        <w:t xml:space="preserve">The decision policy is deliberately rule-based rather than learned. Rules are explainable, tunable without retraining, and auditable — all properties that matter in a clinical context where staff need to understand and override system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Risk Tier</w:t>
            </w:r>
          </w:p>
        </w:tc>
        <w:tc>
          <w:tcPr>
            <w:tcW w:type="dxa" w:w="696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Policy</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Low (&lt; 20%)</w:t>
            </w:r>
          </w:p>
        </w:tc>
        <w:tc>
          <w:tcPr>
            <w:tcW w:type="dxa" w:w="6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No action — intervention cost exceeds expected gain at this probability level</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Medium (20-40%)</w:t>
            </w:r>
          </w:p>
        </w:tc>
        <w:tc>
          <w:tcPr>
            <w:tcW w:type="dxa" w:w="69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SMS if net value &gt; 0 — cheapest effective intervention</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High (40-65%)</w:t>
            </w:r>
          </w:p>
        </w:tc>
        <w:tc>
          <w:tcPr>
            <w:tcW w:type="dxa" w:w="6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Phone call if net value &gt; 0, fall back to SMS</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Critical (&gt; 65%)</w:t>
            </w:r>
          </w:p>
        </w:tc>
        <w:tc>
          <w:tcPr>
            <w:tcW w:type="dxa" w:w="69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Call or overbook — whichever has higher expected net value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20"/>
        <w:gridCol w:w="8640"/>
      </w:tblGrid>
      <w:tr>
        <w:tc>
          <w:tcPr>
            <w:tcW w:type="dxa" w:w="720"/>
            <w:tcBorders>
              <w:top w:val="single" w:color="0D2B45" w:sz="0"/>
              <w:left w:val="single" w:color="0D2B45" w:sz="0"/>
              <w:bottom w:val="single" w:color="0D2B45" w:sz="0"/>
              <w:right w:val="single" w:color="0D2B45" w:sz="0"/>
            </w:tcBorders>
            <w:shd w:fill="0D2B45"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5</w:t>
            </w:r>
          </w:p>
        </w:tc>
        <w:tc>
          <w:tcPr>
            <w:tcW w:type="dxa" w:w="8640"/>
            <w:tcBorders>
              <w:top w:val="single" w:color="0D2B45" w:sz="1"/>
              <w:left w:val="nil" w:color="FFFFFF" w:sz="0"/>
              <w:bottom w:val="single" w:color="0D2B45" w:sz="1"/>
              <w:right w:val="single" w:color="0D2B45" w:sz="1"/>
            </w:tcBorders>
            <w:shd w:fill="E8F4F8" w:val="clear"/>
            <w:tcMar>
              <w:top w:type="dxa" w:w="120"/>
              <w:left w:type="dxa" w:w="200"/>
              <w:bottom w:type="dxa" w:w="120"/>
              <w:right w:type="dxa" w:w="100"/>
            </w:tcMar>
            <w:vAlign w:val="center"/>
          </w:tcPr>
          <w:p>
            <w:r>
              <w:rPr>
                <w:rFonts w:ascii="Arial" w:cs="Arial" w:eastAsia="Arial" w:hAnsi="Arial"/>
                <w:b/>
                <w:bCs/>
                <w:color w:val="0D2B45"/>
                <w:sz w:val="26"/>
                <w:szCs w:val="26"/>
              </w:rPr>
              <w:t xml:space="preserve">Monitoring &amp; Responsible AI</w:t>
            </w:r>
          </w:p>
        </w:tc>
      </w:tr>
    </w:tbl>
    <w:p>
      <w:pPr>
        <w:spacing w:after="0" w:before="80"/>
      </w:pPr>
    </w:p>
    <w:p>
      <w:pPr>
        <w:spacing w:after="40" w:before="200"/>
      </w:pPr>
      <w:r>
        <w:rPr>
          <w:rFonts w:ascii="Arial" w:cs="Arial" w:eastAsia="Arial" w:hAnsi="Arial"/>
          <w:b/>
          <w:bCs/>
          <w:color w:val="1A5276"/>
          <w:sz w:val="26"/>
          <w:szCs w:val="26"/>
        </w:rPr>
        <w:t xml:space="preserve">Feature Drift — Population Stability Index</w:t>
      </w:r>
    </w:p>
    <w:p>
      <w:pPr>
        <w:spacing w:after="100" w:before="0"/>
      </w:pPr>
      <w:r>
        <w:rPr>
          <w:rFonts w:ascii="Arial" w:cs="Arial" w:eastAsia="Arial" w:hAnsi="Arial"/>
          <w:color w:val="1C2833"/>
          <w:sz w:val="21"/>
          <w:szCs w:val="21"/>
        </w:rPr>
        <w:t xml:space="preserve">PSI measures how much a feature's distribution has shifted between training and production. It is computed nightly by comparing the current week's incoming appointment features against the saved reference distribution from training.</w:t>
      </w:r>
    </w:p>
    <w:p>
      <w:pPr>
        <w:spacing w:after="0" w:before="40"/>
      </w:pPr>
    </w:p>
    <w:p>
      <w:pPr>
        <w:shd w:fill="F4F6F7" w:val="clear"/>
        <w:spacing w:after="0" w:before="0"/>
        <w:ind w:left="360"/>
      </w:pPr>
      <w:r>
        <w:rPr>
          <w:rFonts w:ascii="Courier New" w:cs="Courier New" w:eastAsia="Courier New" w:hAnsi="Courier New"/>
          <w:color w:val="1A5276"/>
          <w:sz w:val="18"/>
          <w:szCs w:val="18"/>
        </w:rPr>
        <w:t xml:space="preserve">PSI = sum( (actual_pct - expected_pct) x ln(actual_pct / expected_pct) )</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PSI Range</w:t>
            </w:r>
          </w:p>
        </w:tc>
        <w:tc>
          <w:tcPr>
            <w:tcW w:type="dxa" w:w="696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Status &amp; Action</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&lt; 0.1</w:t>
            </w:r>
          </w:p>
        </w:tc>
        <w:tc>
          <w:tcPr>
            <w:tcW w:type="dxa" w:w="6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Stable — no action required</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0.1 – 0.2</w:t>
            </w:r>
          </w:p>
        </w:tc>
        <w:tc>
          <w:tcPr>
            <w:tcW w:type="dxa" w:w="69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Alert — investigate root cause (patient population shift? data pipeline change?)</w:t>
            </w:r>
          </w:p>
        </w:tc>
      </w:tr>
      <w:tr>
        <w:tc>
          <w:tcPr>
            <w:tcW w:type="dxa" w:w="24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&gt; 0.2</w:t>
            </w:r>
          </w:p>
        </w:tc>
        <w:tc>
          <w:tcPr>
            <w:tcW w:type="dxa" w:w="69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Critical — trigger model retraining on recent data</w:t>
            </w:r>
          </w:p>
        </w:tc>
      </w:tr>
    </w:tbl>
    <w:p>
      <w:pPr>
        <w:spacing w:after="0" w:before="80"/>
      </w:pPr>
    </w:p>
    <w:p>
      <w:pPr>
        <w:spacing w:after="100" w:before="0"/>
      </w:pPr>
      <w:r>
        <w:rPr>
          <w:rFonts w:ascii="Arial" w:cs="Arial" w:eastAsia="Arial" w:hAnsi="Arial"/>
          <w:color w:val="1C2833"/>
          <w:sz w:val="21"/>
          <w:szCs w:val="21"/>
        </w:rPr>
        <w:t xml:space="preserve">In the current deployment, historical_noshow_rate shows PSI = 0.18 (Alert) — a signal that no-show behavior in the simulated production window is shifting from the training distribution. In a real system this would prompt an investigation before triggering a full retrain.</w:t>
      </w:r>
    </w:p>
    <w:p>
      <w:pPr>
        <w:spacing w:after="40" w:before="200"/>
      </w:pPr>
      <w:r>
        <w:rPr>
          <w:rFonts w:ascii="Arial" w:cs="Arial" w:eastAsia="Arial" w:hAnsi="Arial"/>
          <w:b/>
          <w:bCs/>
          <w:color w:val="1A5276"/>
          <w:sz w:val="26"/>
          <w:szCs w:val="26"/>
        </w:rPr>
        <w:t xml:space="preserve">Fairness Analysis</w:t>
      </w:r>
    </w:p>
    <w:p>
      <w:pPr>
        <w:spacing w:after="100" w:before="0"/>
      </w:pPr>
      <w:r>
        <w:rPr>
          <w:rFonts w:ascii="Arial" w:cs="Arial" w:eastAsia="Arial" w:hAnsi="Arial"/>
          <w:color w:val="1C2833"/>
          <w:sz w:val="21"/>
          <w:szCs w:val="21"/>
        </w:rPr>
        <w:t xml:space="preserve">The monitoring dashboard reports AUROC, Brier Score, and Expected Calibration Error (ECE) broken down by age group. The AUROC gap across subgroups is currently 4.5 percentage points (0.791 for ages 18-30 vs. 0.836 for 46-60) — within an acceptable range for a prototype. A production system would additionally monitor across insurance type, appointment type, and clinic location.</w:t>
      </w:r>
    </w:p>
    <w:p>
      <w:pPr>
        <w:spacing w:after="100" w:before="0"/>
      </w:pPr>
      <w:r>
        <w:rPr>
          <w:rFonts w:ascii="Arial" w:cs="Arial" w:eastAsia="Arial" w:hAnsi="Arial"/>
          <w:color w:val="1C2833"/>
          <w:sz w:val="21"/>
          <w:szCs w:val="21"/>
        </w:rPr>
        <w:t xml:space="preserve">Age group was chosen as the primary fairness dimension because it is less legally sensitive than race or socioeconomic status while still being a meaningful proxy for healthcare access disparities.</w:t>
      </w:r>
    </w:p>
    <w:p>
      <w:pPr>
        <w:spacing w:after="40" w:before="200"/>
      </w:pPr>
      <w:r>
        <w:rPr>
          <w:rFonts w:ascii="Arial" w:cs="Arial" w:eastAsia="Arial" w:hAnsi="Arial"/>
          <w:b/>
          <w:bCs/>
          <w:color w:val="1A5276"/>
          <w:sz w:val="26"/>
          <w:szCs w:val="26"/>
        </w:rPr>
        <w:t xml:space="preserve">Audit Trail &amp; Feedback Loop</w:t>
      </w:r>
    </w:p>
    <w:p>
      <w:pPr>
        <w:spacing w:after="100" w:before="0"/>
      </w:pPr>
      <w:r>
        <w:rPr>
          <w:rFonts w:ascii="Arial" w:cs="Arial" w:eastAsia="Arial" w:hAnsi="Arial"/>
          <w:color w:val="1C2833"/>
          <w:sz w:val="21"/>
          <w:szCs w:val="21"/>
        </w:rPr>
        <w:t xml:space="preserve">Every prediction is written to the prediction_logs table with: appointment ID, probability, risk tier, recommended intervention, feature importances, decision rationale, model version, and timestamp. Every API action is also written to audit_logs. This creates a complete chain of custody for every decision the system makes.</w:t>
      </w:r>
    </w:p>
    <w:p>
      <w:pPr>
        <w:spacing w:after="100" w:before="0"/>
      </w:pPr>
      <w:r>
        <w:rPr>
          <w:rFonts w:ascii="Arial" w:cs="Arial" w:eastAsia="Arial" w:hAnsi="Arial"/>
          <w:color w:val="1C2833"/>
          <w:sz w:val="21"/>
          <w:szCs w:val="21"/>
        </w:rPr>
        <w:t xml:space="preserve">The PATCH /api/appointments/{id}/outcome endpoint allows recording of actual outcomes. Over time these accumulate into a feedback dataset enabling: model retraining on real outcomes, replacement of simulated uplift estimates with observed treatment effects, and calibration decay tracking.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20"/>
        <w:gridCol w:w="8640"/>
      </w:tblGrid>
      <w:tr>
        <w:tc>
          <w:tcPr>
            <w:tcW w:type="dxa" w:w="720"/>
            <w:tcBorders>
              <w:top w:val="single" w:color="0D2B45" w:sz="0"/>
              <w:left w:val="single" w:color="0D2B45" w:sz="0"/>
              <w:bottom w:val="single" w:color="0D2B45" w:sz="0"/>
              <w:right w:val="single" w:color="0D2B45" w:sz="0"/>
            </w:tcBorders>
            <w:shd w:fill="0D2B45"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6</w:t>
            </w:r>
          </w:p>
        </w:tc>
        <w:tc>
          <w:tcPr>
            <w:tcW w:type="dxa" w:w="8640"/>
            <w:tcBorders>
              <w:top w:val="single" w:color="0D2B45" w:sz="1"/>
              <w:left w:val="nil" w:color="FFFFFF" w:sz="0"/>
              <w:bottom w:val="single" w:color="0D2B45" w:sz="1"/>
              <w:right w:val="single" w:color="0D2B45" w:sz="1"/>
            </w:tcBorders>
            <w:shd w:fill="E8F4F8" w:val="clear"/>
            <w:tcMar>
              <w:top w:type="dxa" w:w="120"/>
              <w:left w:type="dxa" w:w="200"/>
              <w:bottom w:type="dxa" w:w="120"/>
              <w:right w:type="dxa" w:w="100"/>
            </w:tcMar>
            <w:vAlign w:val="center"/>
          </w:tcPr>
          <w:p>
            <w:r>
              <w:rPr>
                <w:rFonts w:ascii="Arial" w:cs="Arial" w:eastAsia="Arial" w:hAnsi="Arial"/>
                <w:b/>
                <w:bCs/>
                <w:color w:val="0D2B45"/>
                <w:sz w:val="26"/>
                <w:szCs w:val="26"/>
              </w:rPr>
              <w:t xml:space="preserve">Tradeoffs &amp; Edge Cases</w:t>
            </w:r>
          </w:p>
        </w:tc>
      </w:tr>
    </w:tbl>
    <w:p>
      <w:pPr>
        <w:spacing w:after="0" w:before="80"/>
      </w:pPr>
    </w:p>
    <w:p>
      <w:pPr>
        <w:spacing w:after="40" w:before="200"/>
      </w:pPr>
      <w:r>
        <w:rPr>
          <w:rFonts w:ascii="Arial" w:cs="Arial" w:eastAsia="Arial" w:hAnsi="Arial"/>
          <w:b/>
          <w:bCs/>
          <w:color w:val="1A5276"/>
          <w:sz w:val="26"/>
          <w:szCs w:val="26"/>
        </w:rPr>
        <w:t xml:space="preserve">Key Design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Decision</w:t>
            </w:r>
          </w:p>
        </w:tc>
        <w:tc>
          <w:tcPr>
            <w:tcW w:type="dxa" w:w="6560"/>
            <w:tcBorders>
              <w:top w:val="single" w:color="0D2B45" w:sz="1"/>
              <w:left w:val="single" w:color="0D2B45" w:sz="1"/>
              <w:bottom w:val="single" w:color="0D2B45" w:sz="1"/>
              <w:right w:val="single" w:color="0D2B45" w:sz="1"/>
            </w:tcBorders>
            <w:shd w:fill="0D2B45" w:val="clear"/>
            <w:tcMar>
              <w:top w:type="dxa" w:w="80"/>
              <w:left w:type="dxa" w:w="140"/>
              <w:bottom w:type="dxa" w:w="80"/>
              <w:right w:type="dxa" w:w="100"/>
            </w:tcMar>
          </w:tcPr>
          <w:p>
            <w:r>
              <w:rPr>
                <w:rFonts w:ascii="Arial" w:cs="Arial" w:eastAsia="Arial" w:hAnsi="Arial"/>
                <w:b/>
                <w:bCs/>
                <w:color w:val="FFFFFF"/>
                <w:sz w:val="19"/>
                <w:szCs w:val="19"/>
              </w:rPr>
              <w:t xml:space="preserve">Tradeoff</w:t>
            </w:r>
          </w:p>
        </w:tc>
      </w:tr>
      <w:tr>
        <w:tc>
          <w:tcPr>
            <w:tcW w:type="dxa" w:w="28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XGBoost over LightGBM</w:t>
            </w:r>
          </w:p>
        </w:tc>
        <w:tc>
          <w:tcPr>
            <w:tcW w:type="dxa" w:w="6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Slightly lower performance ceiling; gained deployment reliability on Render (no OpenMP dependency)</w:t>
            </w:r>
          </w:p>
        </w:tc>
      </w:tr>
      <w:tr>
        <w:tc>
          <w:tcPr>
            <w:tcW w:type="dxa" w:w="28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SQLite over PostgreSQL</w:t>
            </w:r>
          </w:p>
        </w:tc>
        <w:tc>
          <w:tcPr>
            <w:tcW w:type="dxa" w:w="65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No concurrent write safety or horizontal scaling; gained zero-cost deployment with no external DB dependency</w:t>
            </w:r>
          </w:p>
        </w:tc>
      </w:tr>
      <w:tr>
        <w:tc>
          <w:tcPr>
            <w:tcW w:type="dxa" w:w="28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S-Learner over T-Learner for uplift</w:t>
            </w:r>
          </w:p>
        </w:tc>
        <w:tc>
          <w:tcPr>
            <w:tcW w:type="dxa" w:w="6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Simpler to maintain with one model per intervention; T-Learner would have higher fidelity but requires more data and more models to deploy</w:t>
            </w:r>
          </w:p>
        </w:tc>
      </w:tr>
      <w:tr>
        <w:tc>
          <w:tcPr>
            <w:tcW w:type="dxa" w:w="28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Rule-based decision policy</w:t>
            </w:r>
          </w:p>
        </w:tc>
        <w:tc>
          <w:tcPr>
            <w:tcW w:type="dxa" w:w="65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Less optimal in theory than a learned policy; far more auditable, explainable, and tunable — clinicians can understand and override it</w:t>
            </w:r>
          </w:p>
        </w:tc>
      </w:tr>
      <w:tr>
        <w:tc>
          <w:tcPr>
            <w:tcW w:type="dxa" w:w="28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Synthetic training data</w:t>
            </w:r>
          </w:p>
        </w:tc>
        <w:tc>
          <w:tcPr>
            <w:tcW w:type="dxa" w:w="6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No IRB required, fast iteration, full control of data distribution; but uplift estimates are simulated, not observed</w:t>
            </w:r>
          </w:p>
        </w:tc>
      </w:tr>
      <w:tr>
        <w:tc>
          <w:tcPr>
            <w:tcW w:type="dxa" w:w="28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Temporal split over cross-validation</w:t>
            </w:r>
          </w:p>
        </w:tc>
        <w:tc>
          <w:tcPr>
            <w:tcW w:type="dxa" w:w="6560"/>
            <w:tcBorders>
              <w:top w:val="single" w:color="D5D8DC" w:sz="1"/>
              <w:left w:val="single" w:color="D5D8DC" w:sz="1"/>
              <w:bottom w:val="single" w:color="D5D8DC" w:sz="1"/>
              <w:right w:val="single" w:color="D5D8DC" w:sz="1"/>
            </w:tcBorders>
            <w:shd w:fill="F4F9FB" w:val="clear"/>
            <w:tcMar>
              <w:top w:type="dxa" w:w="70"/>
              <w:left w:type="dxa" w:w="140"/>
              <w:bottom w:type="dxa" w:w="70"/>
              <w:right w:type="dxa" w:w="100"/>
            </w:tcMar>
          </w:tcPr>
          <w:p>
            <w:r>
              <w:rPr>
                <w:rFonts w:ascii="Arial" w:cs="Arial" w:eastAsia="Arial" w:hAnsi="Arial"/>
                <w:b w:val="false"/>
                <w:bCs w:val="false"/>
                <w:color w:val="1C2833"/>
                <w:sz w:val="19"/>
                <w:szCs w:val="19"/>
              </w:rPr>
              <w:t xml:space="preserve">Single evaluation window; temporal CV would be more robust but 5x slower and still not as representative as true out-of-time testing</w:t>
            </w:r>
          </w:p>
        </w:tc>
      </w:tr>
      <w:tr>
        <w:tc>
          <w:tcPr>
            <w:tcW w:type="dxa" w:w="2800"/>
            <w:tcBorders>
              <w:top w:val="single" w:color="D5D8DC" w:sz="1"/>
              <w:left w:val="single" w:color="D5D8DC" w:sz="1"/>
              <w:bottom w:val="single" w:color="D5D8DC" w:sz="1"/>
              <w:right w:val="single" w:color="D5D8DC" w:sz="1"/>
            </w:tcBorders>
            <w:shd w:fill="E8F4F8" w:val="clear"/>
            <w:tcMar>
              <w:top w:type="dxa" w:w="70"/>
              <w:left w:type="dxa" w:w="140"/>
              <w:bottom w:type="dxa" w:w="70"/>
              <w:right w:type="dxa" w:w="100"/>
            </w:tcMar>
          </w:tcPr>
          <w:p>
            <w:r>
              <w:rPr>
                <w:rFonts w:ascii="Arial" w:cs="Arial" w:eastAsia="Arial" w:hAnsi="Arial"/>
                <w:b/>
                <w:bCs/>
                <w:color w:val="0D2B45"/>
                <w:sz w:val="19"/>
                <w:szCs w:val="19"/>
              </w:rPr>
              <w:t xml:space="preserve">Isotonic over Platt calibration</w:t>
            </w:r>
          </w:p>
        </w:tc>
        <w:tc>
          <w:tcPr>
            <w:tcW w:type="dxa" w:w="6560"/>
            <w:tcBorders>
              <w:top w:val="single" w:color="D5D8DC" w:sz="1"/>
              <w:left w:val="single" w:color="D5D8DC" w:sz="1"/>
              <w:bottom w:val="single" w:color="D5D8DC" w:sz="1"/>
              <w:right w:val="single" w:color="D5D8DC" w:sz="1"/>
            </w:tcBorders>
            <w:shd w:fill="FFFFFF" w:val="clear"/>
            <w:tcMar>
              <w:top w:type="dxa" w:w="70"/>
              <w:left w:type="dxa" w:w="140"/>
              <w:bottom w:type="dxa" w:w="70"/>
              <w:right w:type="dxa" w:w="100"/>
            </w:tcMar>
          </w:tcPr>
          <w:p>
            <w:r>
              <w:rPr>
                <w:rFonts w:ascii="Arial" w:cs="Arial" w:eastAsia="Arial" w:hAnsi="Arial"/>
                <w:b w:val="false"/>
                <w:bCs w:val="false"/>
                <w:color w:val="1C2833"/>
                <w:sz w:val="19"/>
                <w:szCs w:val="19"/>
              </w:rPr>
              <w:t xml:space="preserve">More flexible, fits arbitrary monotonic functions; but requires more validation data and can overfit on small held-out sets</w:t>
            </w:r>
          </w:p>
        </w:tc>
      </w:tr>
    </w:tbl>
    <w:p>
      <w:pPr>
        <w:spacing w:after="0" w:before="100"/>
      </w:pPr>
    </w:p>
    <w:p>
      <w:pPr>
        <w:spacing w:after="40" w:before="200"/>
      </w:pPr>
      <w:r>
        <w:rPr>
          <w:rFonts w:ascii="Arial" w:cs="Arial" w:eastAsia="Arial" w:hAnsi="Arial"/>
          <w:b/>
          <w:bCs/>
          <w:color w:val="1A5276"/>
          <w:sz w:val="26"/>
          <w:szCs w:val="26"/>
        </w:rPr>
        <w:t xml:space="preserve">Edge Cases Handled</w:t>
      </w:r>
    </w:p>
    <w:p>
      <w:pPr>
        <w:pStyle w:val="ListParagraph"/>
        <w:numPr>
          <w:ilvl w:val="0"/>
          <w:numId w:val="3"/>
        </w:numPr>
        <w:spacing w:after="20" w:before="20"/>
      </w:pPr>
      <w:r>
        <w:rPr>
          <w:rFonts w:ascii="Arial" w:cs="Arial" w:eastAsia="Arial" w:hAnsi="Arial"/>
          <w:b w:val="false"/>
          <w:bCs w:val="false"/>
          <w:color w:val="1C2833"/>
          <w:sz w:val="21"/>
          <w:szCs w:val="21"/>
        </w:rPr>
        <w:t xml:space="preserve">First-time patients with no history: historical_noshow_rate defaults to the population prior (0.15) rather than zero, which would falsely signal perfect attendance</w:t>
      </w:r>
    </w:p>
    <w:p>
      <w:pPr>
        <w:pStyle w:val="ListParagraph"/>
        <w:numPr>
          <w:ilvl w:val="0"/>
          <w:numId w:val="3"/>
        </w:numPr>
        <w:spacing w:after="20" w:before="20"/>
      </w:pPr>
      <w:r>
        <w:rPr>
          <w:rFonts w:ascii="Arial" w:cs="Arial" w:eastAsia="Arial" w:hAnsi="Arial"/>
          <w:b w:val="false"/>
          <w:bCs w:val="false"/>
          <w:color w:val="1C2833"/>
          <w:sz w:val="21"/>
          <w:szCs w:val="21"/>
        </w:rPr>
        <w:t xml:space="preserve">prior_noshows &gt; prior_appointments: rejected by Pydantic validator at the API boundary; feature engineering also clips as a secondary safeguard</w:t>
      </w:r>
    </w:p>
    <w:p>
      <w:pPr>
        <w:pStyle w:val="ListParagraph"/>
        <w:numPr>
          <w:ilvl w:val="0"/>
          <w:numId w:val="3"/>
        </w:numPr>
        <w:spacing w:after="20" w:before="20"/>
      </w:pPr>
      <w:r>
        <w:rPr>
          <w:rFonts w:ascii="Arial" w:cs="Arial" w:eastAsia="Arial" w:hAnsi="Arial"/>
          <w:b w:val="false"/>
          <w:bCs w:val="false"/>
          <w:color w:val="1C2833"/>
          <w:sz w:val="21"/>
          <w:szCs w:val="21"/>
        </w:rPr>
        <w:t xml:space="preserve">Missing model artifacts: inference falls back to a heuristic mock using only historical_noshow_rate and lead_time_days — API returns 200 with degraded predictions rather than 500</w:t>
      </w:r>
    </w:p>
    <w:p>
      <w:pPr>
        <w:pStyle w:val="ListParagraph"/>
        <w:numPr>
          <w:ilvl w:val="0"/>
          <w:numId w:val="3"/>
        </w:numPr>
        <w:spacing w:after="20" w:before="20"/>
      </w:pPr>
      <w:r>
        <w:rPr>
          <w:rFonts w:ascii="Arial" w:cs="Arial" w:eastAsia="Arial" w:hAnsi="Arial"/>
          <w:b w:val="false"/>
          <w:bCs w:val="false"/>
          <w:color w:val="1C2833"/>
          <w:sz w:val="21"/>
          <w:szCs w:val="21"/>
        </w:rPr>
        <w:t xml:space="preserve">All interventions negative net value: policy returns 'none' rather than the least-negative option — never recommends spending money when expected ROI is negative</w:t>
      </w:r>
    </w:p>
    <w:p>
      <w:pPr>
        <w:pStyle w:val="ListParagraph"/>
        <w:numPr>
          <w:ilvl w:val="0"/>
          <w:numId w:val="3"/>
        </w:numPr>
        <w:spacing w:after="20" w:before="20"/>
      </w:pPr>
      <w:r>
        <w:rPr>
          <w:rFonts w:ascii="Arial" w:cs="Arial" w:eastAsia="Arial" w:hAnsi="Arial"/>
          <w:b w:val="false"/>
          <w:bCs w:val="false"/>
          <w:color w:val="1C2833"/>
          <w:sz w:val="21"/>
          <w:szCs w:val="21"/>
        </w:rPr>
        <w:t xml:space="preserve">Clinic load at extremes (0% or 100%): feature is clipped to [0,1]; both extremes are valid signals retained for the model</w:t>
      </w:r>
    </w:p>
    <w:p>
      <w:pPr>
        <w:pStyle w:val="ListParagraph"/>
        <w:numPr>
          <w:ilvl w:val="0"/>
          <w:numId w:val="3"/>
        </w:numPr>
        <w:spacing w:after="20" w:before="20"/>
      </w:pPr>
      <w:r>
        <w:rPr>
          <w:rFonts w:ascii="Arial" w:cs="Arial" w:eastAsia="Arial" w:hAnsi="Arial"/>
          <w:b w:val="false"/>
          <w:bCs w:val="false"/>
          <w:color w:val="1C2833"/>
          <w:sz w:val="21"/>
          <w:szCs w:val="21"/>
        </w:rPr>
        <w:t xml:space="preserve">Concurrent inference requests: async architecture is read-only at inference time — no locking required, requests don't queue</w:t>
      </w:r>
    </w:p>
    <w:p>
      <w:pPr>
        <w:spacing w:after="0" w:before="100"/>
      </w:pPr>
    </w:p>
    <w:p>
      <w:pPr>
        <w:spacing w:after="40" w:before="200"/>
      </w:pPr>
      <w:r>
        <w:rPr>
          <w:rFonts w:ascii="Arial" w:cs="Arial" w:eastAsia="Arial" w:hAnsi="Arial"/>
          <w:b/>
          <w:bCs/>
          <w:color w:val="1A5276"/>
          <w:sz w:val="26"/>
          <w:szCs w:val="26"/>
        </w:rPr>
        <w:t xml:space="preserve">Known Limitations</w:t>
      </w:r>
    </w:p>
    <w:p>
      <w:pPr>
        <w:pStyle w:val="ListParagraph"/>
        <w:numPr>
          <w:ilvl w:val="0"/>
          <w:numId w:val="3"/>
        </w:numPr>
        <w:spacing w:after="20" w:before="20"/>
      </w:pPr>
      <w:r>
        <w:rPr>
          <w:rFonts w:ascii="Arial" w:cs="Arial" w:eastAsia="Arial" w:hAnsi="Arial"/>
          <w:b w:val="false"/>
          <w:bCs w:val="false"/>
          <w:color w:val="1C2833"/>
          <w:sz w:val="21"/>
          <w:szCs w:val="21"/>
        </w:rPr>
        <w:t xml:space="preserve">Uplift models trained on simulated data: production requires A/B experiment data for real treatment effect estimates</w:t>
      </w:r>
    </w:p>
    <w:p>
      <w:pPr>
        <w:pStyle w:val="ListParagraph"/>
        <w:numPr>
          <w:ilvl w:val="0"/>
          <w:numId w:val="3"/>
        </w:numPr>
        <w:spacing w:after="20" w:before="20"/>
      </w:pPr>
      <w:r>
        <w:rPr>
          <w:rFonts w:ascii="Arial" w:cs="Arial" w:eastAsia="Arial" w:hAnsi="Arial"/>
          <w:b w:val="false"/>
          <w:bCs w:val="false"/>
          <w:color w:val="1C2833"/>
          <w:sz w:val="21"/>
          <w:szCs w:val="21"/>
        </w:rPr>
        <w:t xml:space="preserve">Single clinic context: multi-clinic systems would need clinic-level fixed effects or entity embeddings in the feature set</w:t>
      </w:r>
    </w:p>
    <w:p>
      <w:pPr>
        <w:pStyle w:val="ListParagraph"/>
        <w:numPr>
          <w:ilvl w:val="0"/>
          <w:numId w:val="3"/>
        </w:numPr>
        <w:spacing w:after="20" w:before="20"/>
      </w:pPr>
      <w:r>
        <w:rPr>
          <w:rFonts w:ascii="Arial" w:cs="Arial" w:eastAsia="Arial" w:hAnsi="Arial"/>
          <w:b w:val="false"/>
          <w:bCs w:val="false"/>
          <w:color w:val="1C2833"/>
          <w:sz w:val="21"/>
          <w:szCs w:val="21"/>
        </w:rPr>
        <w:t xml:space="preserve">No temporal recency weighting: a no-show from 3 years ago is weighted equally to one last month</w:t>
      </w:r>
    </w:p>
    <w:p>
      <w:pPr>
        <w:pStyle w:val="ListParagraph"/>
        <w:numPr>
          <w:ilvl w:val="0"/>
          <w:numId w:val="3"/>
        </w:numPr>
        <w:spacing w:after="20" w:before="20"/>
      </w:pPr>
      <w:r>
        <w:rPr>
          <w:rFonts w:ascii="Arial" w:cs="Arial" w:eastAsia="Arial" w:hAnsi="Arial"/>
          <w:b w:val="false"/>
          <w:bCs w:val="false"/>
          <w:color w:val="1C2833"/>
          <w:sz w:val="21"/>
          <w:szCs w:val="21"/>
        </w:rPr>
        <w:t xml:space="preserve">Overbooking logic is simplified: real overbooking decisions require slot availability, clinician capacity, and patient severity — none of which are currently modeled</w:t>
      </w:r>
    </w:p>
    <w:p>
      <w:pPr>
        <w:pStyle w:val="ListParagraph"/>
        <w:numPr>
          <w:ilvl w:val="0"/>
          <w:numId w:val="3"/>
        </w:numPr>
        <w:spacing w:after="20" w:before="20"/>
      </w:pPr>
      <w:r>
        <w:rPr>
          <w:rFonts w:ascii="Arial" w:cs="Arial" w:eastAsia="Arial" w:hAnsi="Arial"/>
          <w:b w:val="false"/>
          <w:bCs w:val="false"/>
          <w:color w:val="1C2833"/>
          <w:sz w:val="21"/>
          <w:szCs w:val="21"/>
        </w:rPr>
        <w:t xml:space="preserve">Render free tier cold starts: first request after 15 minutes of inactivity incurs ~30 second delay while the container restarts and models reload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20"/>
        <w:gridCol w:w="8640"/>
      </w:tblGrid>
      <w:tr>
        <w:tc>
          <w:tcPr>
            <w:tcW w:type="dxa" w:w="720"/>
            <w:tcBorders>
              <w:top w:val="single" w:color="0D2B45" w:sz="0"/>
              <w:left w:val="single" w:color="0D2B45" w:sz="0"/>
              <w:bottom w:val="single" w:color="0D2B45" w:sz="0"/>
              <w:right w:val="single" w:color="0D2B45" w:sz="0"/>
            </w:tcBorders>
            <w:shd w:fill="0D2B45"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7</w:t>
            </w:r>
          </w:p>
        </w:tc>
        <w:tc>
          <w:tcPr>
            <w:tcW w:type="dxa" w:w="8640"/>
            <w:tcBorders>
              <w:top w:val="single" w:color="0D2B45" w:sz="1"/>
              <w:left w:val="nil" w:color="FFFFFF" w:sz="0"/>
              <w:bottom w:val="single" w:color="0D2B45" w:sz="1"/>
              <w:right w:val="single" w:color="0D2B45" w:sz="1"/>
            </w:tcBorders>
            <w:shd w:fill="E8F4F8" w:val="clear"/>
            <w:tcMar>
              <w:top w:type="dxa" w:w="120"/>
              <w:left w:type="dxa" w:w="200"/>
              <w:bottom w:type="dxa" w:w="120"/>
              <w:right w:type="dxa" w:w="100"/>
            </w:tcMar>
            <w:vAlign w:val="center"/>
          </w:tcPr>
          <w:p>
            <w:r>
              <w:rPr>
                <w:rFonts w:ascii="Arial" w:cs="Arial" w:eastAsia="Arial" w:hAnsi="Arial"/>
                <w:b/>
                <w:bCs/>
                <w:color w:val="0D2B45"/>
                <w:sz w:val="26"/>
                <w:szCs w:val="26"/>
              </w:rPr>
              <w:t xml:space="preserve">Path to Production: What Changes for a Real Client</w:t>
            </w:r>
          </w:p>
        </w:tc>
      </w:tr>
    </w:tbl>
    <w:p>
      <w:pPr>
        <w:spacing w:after="0" w:before="80"/>
      </w:pPr>
    </w:p>
    <w:p>
      <w:pPr>
        <w:spacing w:after="100" w:before="0"/>
      </w:pPr>
      <w:r>
        <w:rPr>
          <w:rFonts w:ascii="Arial" w:cs="Arial" w:eastAsia="Arial" w:hAnsi="Arial"/>
          <w:color w:val="1C2833"/>
          <w:sz w:val="21"/>
          <w:szCs w:val="21"/>
        </w:rPr>
        <w:t xml:space="preserve">The prototype was deliberately built to be upgradeable. The following changes are required for a real clinical deployment, in rough priority order.</w:t>
      </w:r>
    </w:p>
    <w:p>
      <w:pPr>
        <w:spacing w:after="0" w:before="60"/>
      </w:pPr>
    </w:p>
    <w:p>
      <w:pPr>
        <w:spacing w:after="40" w:before="200"/>
      </w:pPr>
      <w:r>
        <w:rPr>
          <w:rFonts w:ascii="Arial" w:cs="Arial" w:eastAsia="Arial" w:hAnsi="Arial"/>
          <w:b/>
          <w:bCs/>
          <w:color w:val="1A5276"/>
          <w:sz w:val="26"/>
          <w:szCs w:val="26"/>
        </w:rPr>
        <w:t xml:space="preserve">1 — Database: SQLite → PostgreSQL</w:t>
      </w:r>
    </w:p>
    <w:p>
      <w:pPr>
        <w:spacing w:after="100" w:before="0"/>
      </w:pPr>
      <w:r>
        <w:rPr>
          <w:rFonts w:ascii="Arial" w:cs="Arial" w:eastAsia="Arial" w:hAnsi="Arial"/>
          <w:color w:val="1C2833"/>
          <w:sz w:val="21"/>
          <w:szCs w:val="21"/>
        </w:rPr>
        <w:t xml:space="preserve">SQLite is a single-file database with no concurrent write safety and no network access. It cannot be shared across multiple API instances and resets on every Render redeploy. For production, update DATABASE_URL in config.py to point to a PostgreSQL instance. Supabase offers a free PostgreSQL tier with 500MB storage. The SQLAlchemy async engine supports PostgreSQL via asyncpg with zero code changes — only the connection string changes:</w:t>
      </w:r>
    </w:p>
    <w:p>
      <w:pPr>
        <w:shd w:fill="F4F6F7" w:val="clear"/>
        <w:spacing w:after="0" w:before="0"/>
        <w:ind w:left="360"/>
      </w:pPr>
      <w:r>
        <w:rPr>
          <w:rFonts w:ascii="Courier New" w:cs="Courier New" w:eastAsia="Courier New" w:hAnsi="Courier New"/>
          <w:color w:val="1A5276"/>
          <w:sz w:val="18"/>
          <w:szCs w:val="18"/>
        </w:rPr>
        <w:t xml:space="preserve">DATABASE_URL=postgresql+asyncpg://user:pass@host:5432/clinicflow</w:t>
      </w:r>
    </w:p>
    <w:p>
      <w:pPr>
        <w:spacing w:after="0" w:before="80"/>
      </w:pPr>
    </w:p>
    <w:p>
      <w:pPr>
        <w:spacing w:after="40" w:before="200"/>
      </w:pPr>
      <w:r>
        <w:rPr>
          <w:rFonts w:ascii="Arial" w:cs="Arial" w:eastAsia="Arial" w:hAnsi="Arial"/>
          <w:b/>
          <w:bCs/>
          <w:color w:val="1A5276"/>
          <w:sz w:val="26"/>
          <w:szCs w:val="26"/>
        </w:rPr>
        <w:t xml:space="preserve">2 — Model Storage: Git → Object Storage (S3 / GCS)</w:t>
      </w:r>
    </w:p>
    <w:p>
      <w:pPr>
        <w:spacing w:after="100" w:before="0"/>
      </w:pPr>
      <w:r>
        <w:rPr>
          <w:rFonts w:ascii="Arial" w:cs="Arial" w:eastAsia="Arial" w:hAnsi="Arial"/>
          <w:color w:val="1C2833"/>
          <w:sz w:val="21"/>
          <w:szCs w:val="21"/>
        </w:rPr>
        <w:t xml:space="preserve">Committing .pkl files to Git bloats the repo with binary blobs that grow with every retraining cycle. In production, artifacts should be uploaded to S3 or GCS after training and downloaded at container startup. The HuggingFace Hub provides free public model hosting with a Python SDK that makes this straightforward.</w:t>
      </w:r>
    </w:p>
    <w:p>
      <w:pPr>
        <w:spacing w:after="0" w:before="80"/>
      </w:pPr>
    </w:p>
    <w:p>
      <w:pPr>
        <w:spacing w:after="40" w:before="200"/>
      </w:pPr>
      <w:r>
        <w:rPr>
          <w:rFonts w:ascii="Arial" w:cs="Arial" w:eastAsia="Arial" w:hAnsi="Arial"/>
          <w:b/>
          <w:bCs/>
          <w:color w:val="1A5276"/>
          <w:sz w:val="26"/>
          <w:szCs w:val="26"/>
        </w:rPr>
        <w:t xml:space="preserve">3 — Real Data + HIPAA Compliance</w:t>
      </w:r>
    </w:p>
    <w:p>
      <w:pPr>
        <w:spacing w:after="100" w:before="0"/>
      </w:pPr>
      <w:r>
        <w:rPr>
          <w:rFonts w:ascii="Arial" w:cs="Arial" w:eastAsia="Arial" w:hAnsi="Arial"/>
          <w:color w:val="1C2833"/>
          <w:sz w:val="21"/>
          <w:szCs w:val="21"/>
        </w:rPr>
        <w:t xml:space="preserve">Synthetic data produces realistic patterns but cannot capture the full complexity of real clinical populations. Production requires: IRB approval for data collection and model training; a HIPAA-compliant data pipeline with encryption at rest and in transit; a de-identification layer so that patient PII never reaches the feature engineering module; and data retention and deletion policies.</w:t>
      </w:r>
    </w:p>
    <w:p>
      <w:pPr>
        <w:spacing w:after="0" w:before="80"/>
      </w:pPr>
    </w:p>
    <w:p>
      <w:pPr>
        <w:spacing w:after="40" w:before="200"/>
      </w:pPr>
      <w:r>
        <w:rPr>
          <w:rFonts w:ascii="Arial" w:cs="Arial" w:eastAsia="Arial" w:hAnsi="Arial"/>
          <w:b/>
          <w:bCs/>
          <w:color w:val="1A5276"/>
          <w:sz w:val="26"/>
          <w:szCs w:val="26"/>
        </w:rPr>
        <w:t xml:space="preserve">4 — Real Uplift Data from A/B Experiments</w:t>
      </w:r>
    </w:p>
    <w:p>
      <w:pPr>
        <w:spacing w:after="100" w:before="0"/>
      </w:pPr>
      <w:r>
        <w:rPr>
          <w:rFonts w:ascii="Arial" w:cs="Arial" w:eastAsia="Arial" w:hAnsi="Arial"/>
          <w:color w:val="1C2833"/>
          <w:sz w:val="21"/>
          <w:szCs w:val="21"/>
        </w:rPr>
        <w:t xml:space="preserve">The S-Learner uplift models require actual treatment effect data. The clinic would run a controlled experiment: randomly assign 50% of medium-risk patients to receive SMS reminders and 50% to receive no intervention, then measure the difference in show rates over 6-8 weeks. Roughly 2,000-5,000 interventions provide sufficient data to estimate treatment effects with acceptable confidence intervals.</w:t>
      </w:r>
    </w:p>
    <w:p>
      <w:pPr>
        <w:spacing w:after="0" w:before="80"/>
      </w:pPr>
    </w:p>
    <w:p>
      <w:pPr>
        <w:spacing w:after="40" w:before="200"/>
      </w:pPr>
      <w:r>
        <w:rPr>
          <w:rFonts w:ascii="Arial" w:cs="Arial" w:eastAsia="Arial" w:hAnsi="Arial"/>
          <w:b/>
          <w:bCs/>
          <w:color w:val="1A5276"/>
          <w:sz w:val="26"/>
          <w:szCs w:val="26"/>
        </w:rPr>
        <w:t xml:space="preserve">5 — Authentication &amp; Multi-Tenancy</w:t>
      </w:r>
    </w:p>
    <w:p>
      <w:pPr>
        <w:spacing w:after="100" w:before="0"/>
      </w:pPr>
      <w:r>
        <w:rPr>
          <w:rFonts w:ascii="Arial" w:cs="Arial" w:eastAsia="Arial" w:hAnsi="Arial"/>
          <w:color w:val="1C2833"/>
          <w:sz w:val="21"/>
          <w:szCs w:val="21"/>
        </w:rPr>
        <w:t xml:space="preserve">The current API has no authentication. Production requires JWT-based auth for clinic staff, role-based access control (admin vs. staff vs. read-only), and multi-tenancy so that Clinic A cannot access Clinic B's data. The python-jose and passlib dependencies are already in requirements.txt, providing the building blocks.</w:t>
      </w:r>
    </w:p>
    <w:p>
      <w:pPr>
        <w:spacing w:after="0" w:before="80"/>
      </w:pPr>
    </w:p>
    <w:p>
      <w:pPr>
        <w:spacing w:after="40" w:before="200"/>
      </w:pPr>
      <w:r>
        <w:rPr>
          <w:rFonts w:ascii="Arial" w:cs="Arial" w:eastAsia="Arial" w:hAnsi="Arial"/>
          <w:b/>
          <w:bCs/>
          <w:color w:val="1A5276"/>
          <w:sz w:val="26"/>
          <w:szCs w:val="26"/>
        </w:rPr>
        <w:t xml:space="preserve">6 — EHR Integration via FHIR</w:t>
      </w:r>
    </w:p>
    <w:p>
      <w:pPr>
        <w:spacing w:after="100" w:before="0"/>
      </w:pPr>
      <w:r>
        <w:rPr>
          <w:rFonts w:ascii="Arial" w:cs="Arial" w:eastAsia="Arial" w:hAnsi="Arial"/>
          <w:color w:val="1C2833"/>
          <w:sz w:val="21"/>
          <w:szCs w:val="21"/>
        </w:rPr>
        <w:t xml:space="preserve">Real clinics use EHR systems — Epic, Cerner, and Athenahealth are most common. ClinicFlow would need a FHIR R4 data ingestion layer to pull appointment resources automatically rather than requiring manual seeding. Most major EHR systems expose FHIR APIs that can be queried with standard HTTP clients.</w:t>
      </w:r>
    </w:p>
    <w:p>
      <w:pPr>
        <w:spacing w:after="0" w:before="80"/>
      </w:pPr>
    </w:p>
    <w:p>
      <w:pPr>
        <w:spacing w:after="40" w:before="200"/>
      </w:pPr>
      <w:r>
        <w:rPr>
          <w:rFonts w:ascii="Arial" w:cs="Arial" w:eastAsia="Arial" w:hAnsi="Arial"/>
          <w:b/>
          <w:bCs/>
          <w:color w:val="1A5276"/>
          <w:sz w:val="26"/>
          <w:szCs w:val="26"/>
        </w:rPr>
        <w:t xml:space="preserve">7 — Intervention Execution</w:t>
      </w:r>
    </w:p>
    <w:p>
      <w:pPr>
        <w:spacing w:after="100" w:before="0"/>
      </w:pPr>
      <w:r>
        <w:rPr>
          <w:rFonts w:ascii="Arial" w:cs="Arial" w:eastAsia="Arial" w:hAnsi="Arial"/>
          <w:color w:val="1C2833"/>
          <w:sz w:val="21"/>
          <w:szCs w:val="21"/>
        </w:rPr>
        <w:t xml:space="preserve">Currently ClinicFlow recommends interventions but does not execute them. Production would integrate: Twilio API for SMS, RingCentral for automated call scheduling, and the EHR's appointment management API for overbooking. Each sent intervention would be logged with a timestamp and outcome recorded when the appointment date passes — closing the feedback loop.</w:t>
      </w:r>
    </w:p>
    <w:p>
      <w:pPr>
        <w:spacing w:after="0" w:before="80"/>
      </w:pPr>
    </w:p>
    <w:p>
      <w:pPr>
        <w:spacing w:after="40" w:before="200"/>
      </w:pPr>
      <w:r>
        <w:rPr>
          <w:rFonts w:ascii="Arial" w:cs="Arial" w:eastAsia="Arial" w:hAnsi="Arial"/>
          <w:b/>
          <w:bCs/>
          <w:color w:val="1A5276"/>
          <w:sz w:val="26"/>
          <w:szCs w:val="26"/>
        </w:rPr>
        <w:t xml:space="preserve">8 — Production Monitoring Infrastructure</w:t>
      </w:r>
    </w:p>
    <w:p>
      <w:pPr>
        <w:spacing w:after="100" w:before="0"/>
      </w:pPr>
      <w:r>
        <w:rPr>
          <w:rFonts w:ascii="Arial" w:cs="Arial" w:eastAsia="Arial" w:hAnsi="Arial"/>
          <w:color w:val="1C2833"/>
          <w:sz w:val="21"/>
          <w:szCs w:val="21"/>
        </w:rPr>
        <w:t xml:space="preserve">PSI and fairness reports currently use mock data. In production they would be computed nightly by a scheduled job and alerts sent to an on-call engineer via PagerDuty or Slack when PSI exceeds 0.2 on any feature or when AUROC drops below a threshold on any subgroup.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20"/>
        <w:gridCol w:w="8640"/>
      </w:tblGrid>
      <w:tr>
        <w:tc>
          <w:tcPr>
            <w:tcW w:type="dxa" w:w="720"/>
            <w:tcBorders>
              <w:top w:val="single" w:color="0D2B45" w:sz="0"/>
              <w:left w:val="single" w:color="0D2B45" w:sz="0"/>
              <w:bottom w:val="single" w:color="0D2B45" w:sz="0"/>
              <w:right w:val="single" w:color="0D2B45" w:sz="0"/>
            </w:tcBorders>
            <w:shd w:fill="0D2B45"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8</w:t>
            </w:r>
          </w:p>
        </w:tc>
        <w:tc>
          <w:tcPr>
            <w:tcW w:type="dxa" w:w="8640"/>
            <w:tcBorders>
              <w:top w:val="single" w:color="0D2B45" w:sz="1"/>
              <w:left w:val="nil" w:color="FFFFFF" w:sz="0"/>
              <w:bottom w:val="single" w:color="0D2B45" w:sz="1"/>
              <w:right w:val="single" w:color="0D2B45" w:sz="1"/>
            </w:tcBorders>
            <w:shd w:fill="E8F4F8" w:val="clear"/>
            <w:tcMar>
              <w:top w:type="dxa" w:w="120"/>
              <w:left w:type="dxa" w:w="200"/>
              <w:bottom w:type="dxa" w:w="120"/>
              <w:right w:type="dxa" w:w="100"/>
            </w:tcMar>
            <w:vAlign w:val="center"/>
          </w:tcPr>
          <w:p>
            <w:r>
              <w:rPr>
                <w:rFonts w:ascii="Arial" w:cs="Arial" w:eastAsia="Arial" w:hAnsi="Arial"/>
                <w:b/>
                <w:bCs/>
                <w:color w:val="0D2B45"/>
                <w:sz w:val="26"/>
                <w:szCs w:val="26"/>
              </w:rPr>
              <w:t xml:space="preserve">Conclusion</w:t>
            </w:r>
          </w:p>
        </w:tc>
      </w:tr>
    </w:tbl>
    <w:p>
      <w:pPr>
        <w:spacing w:after="0" w:before="80"/>
      </w:pPr>
    </w:p>
    <w:p>
      <w:pPr>
        <w:spacing w:after="100" w:before="0"/>
      </w:pPr>
      <w:r>
        <w:rPr>
          <w:rFonts w:ascii="Arial" w:cs="Arial" w:eastAsia="Arial" w:hAnsi="Arial"/>
          <w:color w:val="1C2833"/>
          <w:sz w:val="21"/>
          <w:szCs w:val="21"/>
        </w:rPr>
        <w:t xml:space="preserve">ClinicFlow demonstrates that the gap between a good ML model and a useful clinical tool is not primarily a modeling problem — it is an engineering and design problem. The XGBoost model at its core achieves competitive performance but is not exceptional. What makes the system valuable is the decision layer built around it: the cost model, the per-patient uplift estimates, the plain-language rationale, the governance infrastructure.</w:t>
      </w:r>
    </w:p>
    <w:p>
      <w:pPr>
        <w:spacing w:after="100" w:before="0"/>
      </w:pPr>
      <w:r>
        <w:rPr>
          <w:rFonts w:ascii="Arial" w:cs="Arial" w:eastAsia="Arial" w:hAnsi="Arial"/>
          <w:color w:val="1C2833"/>
          <w:sz w:val="21"/>
          <w:szCs w:val="21"/>
        </w:rPr>
        <w:t xml:space="preserve">The most important design choice was framing the problem as decision-making under uncertainty rather than binary classification. That framing changed the choice of metrics (Brier score over accuracy), the modeling approach (uplift modeling over single classifier), the output format (decision + expected value over probability), and the monitoring strategy (calibration decay over accuracy drift).</w:t>
      </w:r>
    </w:p>
    <w:p>
      <w:pPr>
        <w:spacing w:after="100" w:before="0"/>
      </w:pPr>
      <w:r>
        <w:rPr>
          <w:rFonts w:ascii="Arial" w:cs="Arial" w:eastAsia="Arial" w:hAnsi="Arial"/>
          <w:color w:val="1C2833"/>
          <w:sz w:val="21"/>
          <w:szCs w:val="21"/>
        </w:rPr>
        <w:t xml:space="preserve">The system was built end-to-end at zero infrastructure cost and is live and functional. The gap between this prototype and a production clinical deployment is documented as a concrete roadmap in Section 7 — not a mystery, but an engineering checklist.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0D2B45" w:sz="6"/>
              <w:left w:val="single" w:color="0D2B45" w:sz="18"/>
              <w:bottom w:val="single" w:color="0D2B45" w:sz="2"/>
              <w:right w:val="single" w:color="0D2B45" w:sz="2"/>
            </w:tcBorders>
            <w:shd w:fill="E8F4F8" w:val="clear"/>
            <w:tcMar>
              <w:top w:type="dxa" w:w="120"/>
              <w:left w:type="dxa" w:w="240"/>
              <w:bottom w:type="dxa" w:w="120"/>
              <w:right w:type="dxa" w:w="160"/>
            </w:tcMar>
          </w:tcPr>
          <w:p>
            <w:pPr>
              <w:spacing w:after="40" w:before="0"/>
            </w:pPr>
            <w:r>
              <w:rPr>
                <w:rFonts w:ascii="Arial" w:cs="Arial" w:eastAsia="Arial" w:hAnsi="Arial"/>
                <w:b/>
                <w:bCs/>
                <w:color w:val="0D2B45"/>
                <w:sz w:val="20"/>
                <w:szCs w:val="20"/>
              </w:rPr>
              <w:t xml:space="preserve">Live System</w:t>
            </w:r>
          </w:p>
          <w:p>
            <w:pPr>
              <w:spacing w:after="0" w:before="0"/>
            </w:pPr>
            <w:r>
              <w:rPr>
                <w:rFonts w:ascii="Arial" w:cs="Arial" w:eastAsia="Arial" w:hAnsi="Arial"/>
                <w:color w:val="1C2833"/>
                <w:sz w:val="20"/>
                <w:szCs w:val="20"/>
              </w:rPr>
              <w:t xml:space="preserve">Frontend:   clinicflow-hazel.vercel.app
Backend API:  clinicflow-ysqv.onrender.com/docs
GitHub:   github.com/sanikadhayabarpatil/clinicflow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720"/>
        <w:gridCol w:w="8640"/>
      </w:tblGrid>
      <w:tr>
        <w:tc>
          <w:tcPr>
            <w:tcW w:type="dxa" w:w="720"/>
            <w:tcBorders>
              <w:top w:val="single" w:color="0D2B45" w:sz="0"/>
              <w:left w:val="single" w:color="0D2B45" w:sz="0"/>
              <w:bottom w:val="single" w:color="0D2B45" w:sz="0"/>
              <w:right w:val="single" w:color="0D2B45" w:sz="0"/>
            </w:tcBorders>
            <w:shd w:fill="0D2B45" w:val="clear"/>
            <w:tcMar>
              <w:top w:type="dxa" w:w="120"/>
              <w:left w:type="dxa" w:w="160"/>
              <w:bottom w:type="dxa" w:w="120"/>
              <w:right w:type="dxa" w:w="160"/>
            </w:tcMar>
            <w:vAlign w:val="center"/>
          </w:tcPr>
          <w:p>
            <w:pPr>
              <w:jc w:val="center"/>
            </w:pPr>
            <w:r>
              <w:rPr>
                <w:rFonts w:ascii="Arial" w:cs="Arial" w:eastAsia="Arial" w:hAnsi="Arial"/>
                <w:b/>
                <w:bCs/>
                <w:color w:val="FFFFFF"/>
                <w:sz w:val="26"/>
                <w:szCs w:val="26"/>
              </w:rPr>
              <w:t xml:space="preserve">A</w:t>
            </w:r>
          </w:p>
        </w:tc>
        <w:tc>
          <w:tcPr>
            <w:tcW w:type="dxa" w:w="8640"/>
            <w:tcBorders>
              <w:top w:val="single" w:color="0D2B45" w:sz="1"/>
              <w:left w:val="nil" w:color="FFFFFF" w:sz="0"/>
              <w:bottom w:val="single" w:color="0D2B45" w:sz="1"/>
              <w:right w:val="single" w:color="0D2B45" w:sz="1"/>
            </w:tcBorders>
            <w:shd w:fill="E8F4F8" w:val="clear"/>
            <w:tcMar>
              <w:top w:type="dxa" w:w="120"/>
              <w:left w:type="dxa" w:w="200"/>
              <w:bottom w:type="dxa" w:w="120"/>
              <w:right w:type="dxa" w:w="100"/>
            </w:tcMar>
            <w:vAlign w:val="center"/>
          </w:tcPr>
          <w:p>
            <w:r>
              <w:rPr>
                <w:rFonts w:ascii="Arial" w:cs="Arial" w:eastAsia="Arial" w:hAnsi="Arial"/>
                <w:b/>
                <w:bCs/>
                <w:color w:val="0D2B45"/>
                <w:sz w:val="26"/>
                <w:szCs w:val="26"/>
              </w:rPr>
              <w:t xml:space="preserve">Appendix: File Structure</w:t>
            </w:r>
          </w:p>
        </w:tc>
      </w:tr>
    </w:tbl>
    <w:p>
      <w:pPr>
        <w:spacing w:after="0" w:before="80"/>
      </w:pPr>
    </w:p>
    <w:p>
      <w:pPr>
        <w:shd w:fill="F4F6F7" w:val="clear"/>
        <w:spacing w:after="0" w:before="0"/>
        <w:ind w:left="360"/>
      </w:pPr>
      <w:r>
        <w:rPr>
          <w:rFonts w:ascii="Courier New" w:cs="Courier New" w:eastAsia="Courier New" w:hAnsi="Courier New"/>
          <w:color w:val="1A5276"/>
          <w:sz w:val="18"/>
          <w:szCs w:val="18"/>
        </w:rPr>
        <w:t xml:space="preserve">clinicflow/</w:t>
      </w:r>
    </w:p>
    <w:p>
      <w:pPr>
        <w:shd w:fill="F4F6F7" w:val="clear"/>
        <w:spacing w:after="0" w:before="0"/>
        <w:ind w:left="360"/>
      </w:pPr>
      <w:r>
        <w:rPr>
          <w:rFonts w:ascii="Courier New" w:cs="Courier New" w:eastAsia="Courier New" w:hAnsi="Courier New"/>
          <w:color w:val="1A5276"/>
          <w:sz w:val="18"/>
          <w:szCs w:val="18"/>
        </w:rPr>
        <w:t xml:space="preserve">├── backend/</w:t>
      </w:r>
    </w:p>
    <w:p>
      <w:pPr>
        <w:shd w:fill="F4F6F7" w:val="clear"/>
        <w:spacing w:after="0" w:before="0"/>
        <w:ind w:left="360"/>
      </w:pPr>
      <w:r>
        <w:rPr>
          <w:rFonts w:ascii="Courier New" w:cs="Courier New" w:eastAsia="Courier New" w:hAnsi="Courier New"/>
          <w:color w:val="1A5276"/>
          <w:sz w:val="18"/>
          <w:szCs w:val="18"/>
        </w:rPr>
        <w:t xml:space="preserve">│   ├── app/</w:t>
      </w:r>
    </w:p>
    <w:p>
      <w:pPr>
        <w:shd w:fill="F4F6F7" w:val="clear"/>
        <w:spacing w:after="0" w:before="0"/>
        <w:ind w:left="360"/>
      </w:pPr>
      <w:r>
        <w:rPr>
          <w:rFonts w:ascii="Courier New" w:cs="Courier New" w:eastAsia="Courier New" w:hAnsi="Courier New"/>
          <w:color w:val="1A5276"/>
          <w:sz w:val="18"/>
          <w:szCs w:val="18"/>
        </w:rPr>
        <w:t xml:space="preserve">│   │   ├── api/appointments.py       CRUD + outcome recording</w:t>
      </w:r>
    </w:p>
    <w:p>
      <w:pPr>
        <w:shd w:fill="F4F6F7" w:val="clear"/>
        <w:spacing w:after="0" w:before="0"/>
        <w:ind w:left="360"/>
      </w:pPr>
      <w:r>
        <w:rPr>
          <w:rFonts w:ascii="Courier New" w:cs="Courier New" w:eastAsia="Courier New" w:hAnsi="Courier New"/>
          <w:color w:val="1A5276"/>
          <w:sz w:val="18"/>
          <w:szCs w:val="18"/>
        </w:rPr>
        <w:t xml:space="preserve">│   │   ├── api/predictions.py        Full inference pipeline</w:t>
      </w:r>
    </w:p>
    <w:p>
      <w:pPr>
        <w:shd w:fill="F4F6F7" w:val="clear"/>
        <w:spacing w:after="0" w:before="0"/>
        <w:ind w:left="360"/>
      </w:pPr>
      <w:r>
        <w:rPr>
          <w:rFonts w:ascii="Courier New" w:cs="Courier New" w:eastAsia="Courier New" w:hAnsi="Courier New"/>
          <w:color w:val="1A5276"/>
          <w:sz w:val="18"/>
          <w:szCs w:val="18"/>
        </w:rPr>
        <w:t xml:space="preserve">│   │   ├── api/monitoring.py         PSI + fairness reports</w:t>
      </w:r>
    </w:p>
    <w:p>
      <w:pPr>
        <w:shd w:fill="F4F6F7" w:val="clear"/>
        <w:spacing w:after="0" w:before="0"/>
        <w:ind w:left="360"/>
      </w:pPr>
      <w:r>
        <w:rPr>
          <w:rFonts w:ascii="Courier New" w:cs="Courier New" w:eastAsia="Courier New" w:hAnsi="Courier New"/>
          <w:color w:val="1A5276"/>
          <w:sz w:val="18"/>
          <w:szCs w:val="18"/>
        </w:rPr>
        <w:t xml:space="preserve">│   │   ├── api/admin.py              Demo data seeding</w:t>
      </w:r>
    </w:p>
    <w:p>
      <w:pPr>
        <w:shd w:fill="F4F6F7" w:val="clear"/>
        <w:spacing w:after="0" w:before="0"/>
        <w:ind w:left="360"/>
      </w:pPr>
      <w:r>
        <w:rPr>
          <w:rFonts w:ascii="Courier New" w:cs="Courier New" w:eastAsia="Courier New" w:hAnsi="Courier New"/>
          <w:color w:val="1A5276"/>
          <w:sz w:val="18"/>
          <w:szCs w:val="18"/>
        </w:rPr>
        <w:t xml:space="preserve">│   │   ├── ml/features.py            18 leakage-safe features</w:t>
      </w:r>
    </w:p>
    <w:p>
      <w:pPr>
        <w:shd w:fill="F4F6F7" w:val="clear"/>
        <w:spacing w:after="0" w:before="0"/>
        <w:ind w:left="360"/>
      </w:pPr>
      <w:r>
        <w:rPr>
          <w:rFonts w:ascii="Courier New" w:cs="Courier New" w:eastAsia="Courier New" w:hAnsi="Courier New"/>
          <w:color w:val="1A5276"/>
          <w:sz w:val="18"/>
          <w:szCs w:val="18"/>
        </w:rPr>
        <w:t xml:space="preserve">│   │   ├── ml/inference.py           Risk + uplift + decision policy</w:t>
      </w:r>
    </w:p>
    <w:p>
      <w:pPr>
        <w:shd w:fill="F4F6F7" w:val="clear"/>
        <w:spacing w:after="0" w:before="0"/>
        <w:ind w:left="360"/>
      </w:pPr>
      <w:r>
        <w:rPr>
          <w:rFonts w:ascii="Courier New" w:cs="Courier New" w:eastAsia="Courier New" w:hAnsi="Courier New"/>
          <w:color w:val="1A5276"/>
          <w:sz w:val="18"/>
          <w:szCs w:val="18"/>
        </w:rPr>
        <w:t xml:space="preserve">│   │   ├── ml/model_registry.py      Singleton artifact loader</w:t>
      </w:r>
    </w:p>
    <w:p>
      <w:pPr>
        <w:shd w:fill="F4F6F7" w:val="clear"/>
        <w:spacing w:after="0" w:before="0"/>
        <w:ind w:left="360"/>
      </w:pPr>
      <w:r>
        <w:rPr>
          <w:rFonts w:ascii="Courier New" w:cs="Courier New" w:eastAsia="Courier New" w:hAnsi="Courier New"/>
          <w:color w:val="1A5276"/>
          <w:sz w:val="18"/>
          <w:szCs w:val="18"/>
        </w:rPr>
        <w:t xml:space="preserve">│   │   ├── models/schemas.py         Pydantic v2 request/response contracts</w:t>
      </w:r>
    </w:p>
    <w:p>
      <w:pPr>
        <w:shd w:fill="F4F6F7" w:val="clear"/>
        <w:spacing w:after="0" w:before="0"/>
        <w:ind w:left="360"/>
      </w:pPr>
      <w:r>
        <w:rPr>
          <w:rFonts w:ascii="Courier New" w:cs="Courier New" w:eastAsia="Courier New" w:hAnsi="Courier New"/>
          <w:color w:val="1A5276"/>
          <w:sz w:val="18"/>
          <w:szCs w:val="18"/>
        </w:rPr>
        <w:t xml:space="preserve">│   │   ├── models/orm.py             SQLAlchemy table definitions</w:t>
      </w:r>
    </w:p>
    <w:p>
      <w:pPr>
        <w:shd w:fill="F4F6F7" w:val="clear"/>
        <w:spacing w:after="0" w:before="0"/>
        <w:ind w:left="360"/>
      </w:pPr>
      <w:r>
        <w:rPr>
          <w:rFonts w:ascii="Courier New" w:cs="Courier New" w:eastAsia="Courier New" w:hAnsi="Courier New"/>
          <w:color w:val="1A5276"/>
          <w:sz w:val="18"/>
          <w:szCs w:val="18"/>
        </w:rPr>
        <w:t xml:space="preserve">│   │   ├── monitoring/monitor.py     PSI + ECE + fairness calculations</w:t>
      </w:r>
    </w:p>
    <w:p>
      <w:pPr>
        <w:shd w:fill="F4F6F7" w:val="clear"/>
        <w:spacing w:after="0" w:before="0"/>
        <w:ind w:left="360"/>
      </w:pPr>
      <w:r>
        <w:rPr>
          <w:rFonts w:ascii="Courier New" w:cs="Courier New" w:eastAsia="Courier New" w:hAnsi="Courier New"/>
          <w:color w:val="1A5276"/>
          <w:sz w:val="18"/>
          <w:szCs w:val="18"/>
        </w:rPr>
        <w:t xml:space="preserve">│   │   ├── main.py                   FastAPI app entry point + lifespan</w:t>
      </w:r>
    </w:p>
    <w:p>
      <w:pPr>
        <w:shd w:fill="F4F6F7" w:val="clear"/>
        <w:spacing w:after="0" w:before="0"/>
        <w:ind w:left="360"/>
      </w:pPr>
      <w:r>
        <w:rPr>
          <w:rFonts w:ascii="Courier New" w:cs="Courier New" w:eastAsia="Courier New" w:hAnsi="Courier New"/>
          <w:color w:val="1A5276"/>
          <w:sz w:val="18"/>
          <w:szCs w:val="18"/>
        </w:rPr>
        <w:t xml:space="preserve">│   │   ├── database.py               Async SQLAlchemy engine</w:t>
      </w:r>
    </w:p>
    <w:p>
      <w:pPr>
        <w:shd w:fill="F4F6F7" w:val="clear"/>
        <w:spacing w:after="0" w:before="0"/>
        <w:ind w:left="360"/>
      </w:pPr>
      <w:r>
        <w:rPr>
          <w:rFonts w:ascii="Courier New" w:cs="Courier New" w:eastAsia="Courier New" w:hAnsi="Courier New"/>
          <w:color w:val="1A5276"/>
          <w:sz w:val="18"/>
          <w:szCs w:val="18"/>
        </w:rPr>
        <w:t xml:space="preserve">│   │   └── config.py                 pydantic-settings environment config</w:t>
      </w:r>
    </w:p>
    <w:p>
      <w:pPr>
        <w:shd w:fill="F4F6F7" w:val="clear"/>
        <w:spacing w:after="0" w:before="0"/>
        <w:ind w:left="360"/>
      </w:pPr>
      <w:r>
        <w:rPr>
          <w:rFonts w:ascii="Courier New" w:cs="Courier New" w:eastAsia="Courier New" w:hAnsi="Courier New"/>
          <w:color w:val="1A5276"/>
          <w:sz w:val="18"/>
          <w:szCs w:val="18"/>
        </w:rPr>
        <w:t xml:space="preserve">│   └── tests/test_core.py            10 unit tests</w:t>
      </w:r>
    </w:p>
    <w:p>
      <w:pPr>
        <w:shd w:fill="F4F6F7" w:val="clear"/>
        <w:spacing w:after="0" w:before="0"/>
        <w:ind w:left="360"/>
      </w:pPr>
      <w:r>
        <w:rPr>
          <w:rFonts w:ascii="Courier New" w:cs="Courier New" w:eastAsia="Courier New" w:hAnsi="Courier New"/>
          <w:color w:val="1A5276"/>
          <w:sz w:val="18"/>
          <w:szCs w:val="18"/>
        </w:rPr>
        <w:t xml:space="preserve">├── frontend/src/</w:t>
      </w:r>
    </w:p>
    <w:p>
      <w:pPr>
        <w:shd w:fill="F4F6F7" w:val="clear"/>
        <w:spacing w:after="0" w:before="0"/>
        <w:ind w:left="360"/>
      </w:pPr>
      <w:r>
        <w:rPr>
          <w:rFonts w:ascii="Courier New" w:cs="Courier New" w:eastAsia="Courier New" w:hAnsi="Courier New"/>
          <w:color w:val="1A5276"/>
          <w:sz w:val="18"/>
          <w:szCs w:val="18"/>
        </w:rPr>
        <w:t xml:space="preserve">│   ├── pages/Dashboard.jsx           KPIs, weekly trend, risk distribution</w:t>
      </w:r>
    </w:p>
    <w:p>
      <w:pPr>
        <w:shd w:fill="F4F6F7" w:val="clear"/>
        <w:spacing w:after="0" w:before="0"/>
        <w:ind w:left="360"/>
      </w:pPr>
      <w:r>
        <w:rPr>
          <w:rFonts w:ascii="Courier New" w:cs="Courier New" w:eastAsia="Courier New" w:hAnsi="Courier New"/>
          <w:color w:val="1A5276"/>
          <w:sz w:val="18"/>
          <w:szCs w:val="18"/>
        </w:rPr>
        <w:t xml:space="preserve">│   ├── pages/Predictions.jsx         Live inference UI (calls real API)</w:t>
      </w:r>
    </w:p>
    <w:p>
      <w:pPr>
        <w:shd w:fill="F4F6F7" w:val="clear"/>
        <w:spacing w:after="0" w:before="0"/>
        <w:ind w:left="360"/>
      </w:pPr>
      <w:r>
        <w:rPr>
          <w:rFonts w:ascii="Courier New" w:cs="Courier New" w:eastAsia="Courier New" w:hAnsi="Courier New"/>
          <w:color w:val="1A5276"/>
          <w:sz w:val="18"/>
          <w:szCs w:val="18"/>
        </w:rPr>
        <w:t xml:space="preserve">│   ├── pages/Appointments.jsx        Filterable risk queue</w:t>
      </w:r>
    </w:p>
    <w:p>
      <w:pPr>
        <w:shd w:fill="F4F6F7" w:val="clear"/>
        <w:spacing w:after="0" w:before="0"/>
        <w:ind w:left="360"/>
      </w:pPr>
      <w:r>
        <w:rPr>
          <w:rFonts w:ascii="Courier New" w:cs="Courier New" w:eastAsia="Courier New" w:hAnsi="Courier New"/>
          <w:color w:val="1A5276"/>
          <w:sz w:val="18"/>
          <w:szCs w:val="18"/>
        </w:rPr>
        <w:t xml:space="preserve">│   ├── pages/Monitoring.jsx          PSI drift + fairness + governance</w:t>
      </w:r>
    </w:p>
    <w:p>
      <w:pPr>
        <w:shd w:fill="F4F6F7" w:val="clear"/>
        <w:spacing w:after="0" w:before="0"/>
        <w:ind w:left="360"/>
      </w:pPr>
      <w:r>
        <w:rPr>
          <w:rFonts w:ascii="Courier New" w:cs="Courier New" w:eastAsia="Courier New" w:hAnsi="Courier New"/>
          <w:color w:val="1A5276"/>
          <w:sz w:val="18"/>
          <w:szCs w:val="18"/>
        </w:rPr>
        <w:t xml:space="preserve">│   └── utils/api.js                  Backend API client</w:t>
      </w:r>
    </w:p>
    <w:p>
      <w:pPr>
        <w:shd w:fill="F4F6F7" w:val="clear"/>
        <w:spacing w:after="0" w:before="0"/>
        <w:ind w:left="360"/>
      </w:pPr>
      <w:r>
        <w:rPr>
          <w:rFonts w:ascii="Courier New" w:cs="Courier New" w:eastAsia="Courier New" w:hAnsi="Courier New"/>
          <w:color w:val="1A5276"/>
          <w:sz w:val="18"/>
          <w:szCs w:val="18"/>
        </w:rPr>
        <w:t xml:space="preserve">├── scripts/generate_data.py          50k synthetic appointment generator</w:t>
      </w:r>
    </w:p>
    <w:p>
      <w:pPr>
        <w:shd w:fill="F4F6F7" w:val="clear"/>
        <w:spacing w:after="0" w:before="0"/>
        <w:ind w:left="360"/>
      </w:pPr>
      <w:r>
        <w:rPr>
          <w:rFonts w:ascii="Courier New" w:cs="Courier New" w:eastAsia="Courier New" w:hAnsi="Courier New"/>
          <w:color w:val="1A5276"/>
          <w:sz w:val="18"/>
          <w:szCs w:val="18"/>
        </w:rPr>
        <w:t xml:space="preserve">├── scripts/train_models.py           XGBoost + LR + uplift training</w:t>
      </w:r>
    </w:p>
    <w:p>
      <w:pPr>
        <w:shd w:fill="F4F6F7" w:val="clear"/>
        <w:spacing w:after="0" w:before="0"/>
        <w:ind w:left="360"/>
      </w:pPr>
      <w:r>
        <w:rPr>
          <w:rFonts w:ascii="Courier New" w:cs="Courier New" w:eastAsia="Courier New" w:hAnsi="Courier New"/>
          <w:color w:val="1A5276"/>
          <w:sz w:val="18"/>
          <w:szCs w:val="18"/>
        </w:rPr>
        <w:t xml:space="preserve">├── artifacts/                        Trained .pkl files + model metadata</w:t>
      </w:r>
    </w:p>
    <w:p>
      <w:pPr>
        <w:shd w:fill="F4F6F7" w:val="clear"/>
        <w:spacing w:after="0" w:before="0"/>
        <w:ind w:left="360"/>
      </w:pPr>
      <w:r>
        <w:rPr>
          <w:rFonts w:ascii="Courier New" w:cs="Courier New" w:eastAsia="Courier New" w:hAnsi="Courier New"/>
          <w:color w:val="1A5276"/>
          <w:sz w:val="18"/>
          <w:szCs w:val="18"/>
        </w:rPr>
        <w:t xml:space="preserve">└── .github/workflows/ci.yml          CI/CD pipeline (test + deploy)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bottom w:val="nil" w:color="FFFFFF" w:sz="0"/>
        <w:left w:val="nil" w:color="FFFFFF" w:sz="0"/>
        <w:right w:val="nil" w:color="FFFFFF" w:sz="0"/>
      </w:pBdr>
      <w:tabs>
        <w:tab w:val="right" w:pos="9026"/>
      </w:tabs>
      <w:spacing w:after="0" w:before="60"/>
    </w:pPr>
    <w:r>
      <w:rPr>
        <w:rFonts w:ascii="Arial" w:cs="Arial" w:eastAsia="Arial" w:hAnsi="Arial"/>
        <w:color w:val="566573"/>
        <w:sz w:val="16"/>
        <w:szCs w:val="16"/>
      </w:rPr>
      <w:t xml:space="preserve">clinicflow-hazel.vercel.app  |  github.com/sanikadhayabarpatil/clinicflow</w:t>
    </w:r>
    <w:r>
      <w:rPr>
        <w:sz w:val="16"/>
        <w:szCs w:val="16"/>
      </w:rPr>
      <w:t xml:space="preserve">	</w:t>
    </w:r>
    <w:r>
      <w:rPr>
        <w:rFonts w:ascii="Arial" w:cs="Arial" w:eastAsia="Arial" w:hAnsi="Arial"/>
        <w:color w:val="566573"/>
        <w:sz w:val="16"/>
        <w:szCs w:val="16"/>
      </w:rPr>
      <w:t xml:space="preserve">May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il" w:color="FFFFFF" w:sz="0"/>
        <w:bottom w:val="single" w:color="2E86C1" w:sz="6"/>
        <w:left w:val="nil" w:color="FFFFFF" w:sz="0"/>
        <w:right w:val="nil" w:color="FFFFFF" w:sz="0"/>
      </w:pBdr>
      <w:tabs>
        <w:tab w:val="right" w:pos="9026"/>
      </w:tabs>
      <w:spacing w:after="80" w:before="0"/>
    </w:pPr>
    <w:r>
      <w:rPr>
        <w:rFonts w:ascii="Arial" w:cs="Arial" w:eastAsia="Arial" w:hAnsi="Arial"/>
        <w:b/>
        <w:bCs/>
        <w:color w:val="0D2B45"/>
        <w:sz w:val="17"/>
        <w:szCs w:val="17"/>
      </w:rPr>
      <w:t xml:space="preserve">CLINICFLOW  —  Project Report</w:t>
    </w:r>
    <w:r>
      <w:rPr>
        <w:sz w:val="17"/>
        <w:szCs w:val="17"/>
      </w:rPr>
      <w:t xml:space="preserve">	</w:t>
    </w:r>
    <w:r>
      <w:rPr>
        <w:rFonts w:ascii="Arial" w:cs="Arial" w:eastAsia="Arial" w:hAnsi="Arial"/>
        <w:color w:val="566573"/>
        <w:sz w:val="17"/>
        <w:szCs w:val="17"/>
      </w:rPr>
      <w:t xml:space="preserve">Sanika Dhayabar Patil  |  Northeastern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80"/>
      <w:outlineLvl w:val="0"/>
    </w:pPr>
    <w:rPr>
      <w:rFonts w:ascii="Arial" w:cs="Arial" w:eastAsia="Arial" w:hAnsi="Arial"/>
      <w:b/>
      <w:bCs/>
      <w:color w:val="0D2B45"/>
      <w:sz w:val="36"/>
      <w:szCs w:val="36"/>
    </w:rPr>
  </w:style>
  <w:style w:type="paragraph" w:styleId="Heading2">
    <w:name w:val="Heading 2"/>
    <w:basedOn w:val="Normal"/>
    <w:next w:val="Normal"/>
    <w:qFormat/>
    <w:pPr>
      <w:spacing w:after="40" w:before="200"/>
      <w:outlineLvl w:val="1"/>
    </w:pPr>
    <w:rPr>
      <w:rFonts w:ascii="Arial" w:cs="Arial" w:eastAsia="Arial" w:hAnsi="Arial"/>
      <w:b/>
      <w:bCs/>
      <w:color w:val="1A5276"/>
      <w:sz w:val="26"/>
      <w:szCs w:val="26"/>
    </w:rPr>
  </w:style>
  <w:style w:type="paragraph" w:styleId="Heading3">
    <w:name w:val="Heading 3"/>
    <w:basedOn w:val="Normal"/>
    <w:next w:val="Normal"/>
    <w:qFormat/>
    <w:pPr>
      <w:spacing w:after="30" w:before="16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2026-05-14T19:38:46.696Z</dcterms:created>
  <dcterms:modified xsi:type="dcterms:W3CDTF">2026-05-14T19:38:46.697Z</dcterms:modified>
</cp:coreProperties>
</file>

<file path=docProps/custom.xml><?xml version="1.0" encoding="utf-8"?>
<Properties xmlns="http://schemas.openxmlformats.org/officeDocument/2006/custom-properties" xmlns:vt="http://schemas.openxmlformats.org/officeDocument/2006/docPropsVTypes"/>
</file>