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mc:Ignorable="w14 w15">
  <w:body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documents: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"Цифровой рубль — определение и суть"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"Цифровой рубль — третья форма национальной валюты РФ, выпускаемая Банком России в дополнение к наличным и безналичным рублям. Все три формы равноценны: 1 цифровой рубль = 1 безналичный рубль = 1 наличный рубль. Цифровой рубль — только средство платежа и переводов."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"цифровой рубль"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["определение", "валюта", "ЦБ", "цифровой рубль"]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2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"Платформа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"Счета цифрового рубля открываются и хранятся на платформе Банка России. Банк России — оператор платформы, осуществляет эмиссию цифрового рубля и проводит все расчёты. Банки выступают посредниками для доступа клиентов к платформе."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"инфраструктура"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["платформа", "Банк России", "счета", "операции"]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3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"Роль банков в цифровом рубле"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"Банки предоставляют клиентам доступ к счёту на платформе ЦР: открывают счёт, проводят пополнение, исполняют поручения клиентов, выполняют проверки ПОД/ФТ и антифрод. Интерфейс для работы с цифровым рублём единый у всех банков — он устанавливается и регулируется Банком России."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"участники"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["банки", "посредник", "интерфейс", "единый"]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4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"Принцип работы — только по поручению клиента"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"Все операции с цифровым рублём выполняются исключительно по поручению клиента. Открытие счёта — только по инициативе клиента. Принудительное открытие счёта недопустимо. Выбор формы денег (наличные, безналичные, цифровые) остаётся за клиентом."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"принципы"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["поручение", "инициатива", "клиент", "добровольность"]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5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"Что нельзя делать с цифровым рублём"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"Цифровой рубль нельзя использовать для: депозитов и вкладов, кредитования, начисления кешбэка. Выплата зарплаты в цифровом рубле обсуждается — сроки не определены. Государственные выплаты: с января 2026 года цифровой рубль уже используется в федеральном бюджете."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"ограничения"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["запреты", "вклады", "кредиты", "кешбэк", "зарплата"]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6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"Доступные операции для физических лиц"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"Физические лица могут: открыть счёт ЦР, пополнить или вывести средства (только безналичными рублями), переводить цифровые рубли другим физлицам (C2C), оплачивать товары и услуги по QR-коду (C2B). Все операции для физических лиц — бесплатно."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"операции"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["физические лица", "C2C", "C2B", "бесплатно"]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7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"Доступные операции для юридических лиц"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"Юридические лица могут: открывать и управлять счётом ЦР, пополнять и выводить средства (только безналичными рублями), принимать оплату от физлиц (C2B), делать возвраты физлицам (B2C), переводить средства между юрлицами (B2B). Все операции бесплатны до 31 декабря 2026 года."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"операции"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["юридические лица", "C2B", "B2B", "B2C", "бесплатно"]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8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"Как физическому лицу работать со счётом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"Физические лица работают с цифровым рублём через мобильное приложение своего банка. Интерфейс одинаковый у всех банков. Для открытия счёта нужна подтверждённая учётная запись на Госуслугах."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"доступ"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["физические лица", "мобильное приложение", "Госуслуги"]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9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"Как юридическому лицу работать со счётом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"Юридические лица работают только через веб-версию интернет-банка (например, СберБизнес web). Для подписания операций используется USB-токен (флешка) с сертификатом электронной подписи (УНЭП). Мобильное приложение для ЮЛ не поддерживается."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"доступ"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["юридические лица", "веб", "токен", "УНЭП", "флешка"]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10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"Кто от юридического лица может управлять счётом ЦР"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"Доступ к счёту цифрового рубля имеют: единоличный исполнительный орган (ЕИО) организации; уполномоченный сотрудник по доверенности, содержащей право — «Право распоряжения счётом цифрового рубля»."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"доступ"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["юридические лица", "ЕИО", "доверенность", "доступ"]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11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"Лимиты операций для физических лиц (период пилота)"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"Лимиты периода пилота для физических лиц: максимальный остаток на счёте — 100 000 рублей; пополнение/вывод — до 300 000 рублей в месяц; один перевод между физлицами (C2C) — до 5 000 рублей. Лимиты устанавливаются Банком России и могут меняться."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"лимиты"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["лимиты", "физические лица", "пилот", "C2C"]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12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"Лимиты операций для юридических лиц (период пилота)"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"Лимиты периода пилота для юридических лиц: один платёж от физлица (C2B) — до 20 000 рублей; один перевод между юрлицами (B2B) — до 10 000 000 рублей; максимальный остаток на счёте — 10 150 000 рублей. Количество ежедневных переводов не ограничено. Лимиты регулируются Банком России."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"лимиты"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["лимиты", "юридические лица", "пилот", "B2B", "C2B"]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13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"Тарифы на операции C2B (приём оплаты от физлиц)"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"До 31 декабря 2026 года — бесплатно для всех. С 2027 года: комиссия для юридического лица-получателя — 0,3% от суммы, но не более 1 500 рублей за одну операцию. Для физических лиц операции C2B всегда бесплатны."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"тарифы"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["C2B", "комиссия", "тарифы", "2027"]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14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"Тарифы на переводы B2B (между юридическими лицами)"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"До 31 декабря 2026 года — бесплатно. С 2027 года: 15 рублей за один перевод, комиссия взимается с плательщика. Тарифы единые для всех банков, устанавливаются Банком России."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"тарифы"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["B2B", "переводы", "тарифы", "2027"]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15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"Пополнение счёта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"Счёт цифрового рубля можно пополнить только безналичными рублями — переводом с банковского или расчётного счёта. Пополнение наличными невозможно. Вывод средств — только на банковский счёт."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"операции"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["пополнение", "вывод", "безналичные", "наличные"]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16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"Договор счёта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"Договор между пользователем и Банком России — публичный, единый для физических и юридических лиц. Размещён на официальном сайте Банка России. Присоединение к договору происходит один раз при открытии счёта."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"документы"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["договор", "ЦБ", "публичный", "оферта"]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17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"Доверенность на операции с цифровым рублём"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"Для операций с ЦР не от имени ЕИО нужна доверенность. Обязательное условие: в доверенности должно быть явно указано право — «Право распоряжения счётом цифрового рубля». Доверенность оформляется нотариально или в простой письменной форме и регистрируется в банке."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"документы"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["доверенность", "полномочия", "ЕИО"]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18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"Блокировка счёта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"Государственные органы могут блокировать счета цифрового рубля — аналогично банковским счетам."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"ограничения"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["блокировка", "государство", "счёт"]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19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"Подключение счёта через другой банк"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"Счёт цифрового рубля один — он открыт на платформе ЦБ. Если счёт уже открыт через один банк, доступ к нему можно получить через любой другой банк-участник, подписав с ним соглашение. Повторно открывать счёт не нужно."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"подключение"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["счёт", "банк", "подключение", "один счёт"]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20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"Ограничения участия ИП в пилоте"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"Индивидуальные предприниматели не могут участвовать в пилоте цифрового рубля."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"пилот"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["ИП", "ограничения", "пилот"]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21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"Этапы массового внедрения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"Поэтапный обязательный запуск: с 1 сентября 2026 — крупнейшие банки и компании с годовой выручкой от 120 млн рублей; с 1 сентября 2027 — банки с универсальной лицензией и компании с выручкой от 30 млн рублей; с 1 сентября 2028 — банки с базовой лицензией и компании с выручкой от 20 млн рублей."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"внедрение"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["этапы", "сроки", "обязанность", "масштабирование"]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22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"Статус пилота цифрового рубля"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"По состоянию на начало 2026 года: 21 банк участвует в пилоте, открыто более 2 500 кошельков ФЛ и ЮЛ, проведено более 100 000 операций, исполнено более 17 000 смарт-контрактов."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"пилот"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["пилот", "статус", "банки", "кошельки"]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23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"Проверка участия клиента в пилоте"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"Для проверки участия необходимо зайти в систему ЕРМ, раздел «Другие продукты», и проверить наличие соглашения по цифровому рублю."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"проверка"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["ЕРМ", "пилот", "проверка"]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/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- id: 24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title: "Цифровой рубль и криптовалюта — отличия"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content: "Цифровой рубль выпускается Банком России — государственным регулятором. Это законное платёжное средство с гарантией государства. Криптовалюты не имеют единого эмитента и государственных обязательств."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metadata: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category: "сравнение"</w:t>
      </w:r>
    </w:p>
    <w:p>
      <w:pPr>
        <w:spacing w:line="240" w:lineRule="auto"/>
      </w:pPr>
      <w:r>
        <w:rPr>
          <w:rFonts w:ascii="Courier New" w:hAnsi="Courier New" w:cs="Courier New"/>
          <w:sz w:val="20"/>
          <w:szCs w:val="20"/>
        </w:rPr>
        <w:t xml:space="preserve">  tags: ["криптовалюта", "различия", "эмиссия", "гарантии"]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