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B-011/18102/ES./2024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B-011/18102/ES./2024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B-011/18102/ES./2024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