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Tinjauan Literatur (Literature Review)</w:t>
      </w:r>
    </w:p>
    <w:p>
      <w:pPr>
        <w:spacing w:after="40"/>
      </w:pPr>
      <w:r>
        <w:rPr>
          <w:rFonts w:ascii="Calibri" w:cs="Calibri" w:eastAsia="Calibri" w:hAnsi="Calibri"/>
          <w:i/>
          <w:iCs/>
          <w:sz w:val="26"/>
          <w:szCs w:val="26"/>
        </w:rPr>
        <w:t xml:space="preserve">Zero Trust Architecture Adaptif Berbasis Machine Learning untuk Mitigasi Akses Tidak Sah</w:t>
      </w:r>
    </w:p>
    <w:p>
      <w:pPr>
        <w:spacing w:after="300"/>
      </w:pPr>
      <w:r>
        <w:rPr>
          <w:rFonts w:ascii="Calibri" w:cs="Calibri" w:eastAsia="Calibri" w:hAnsi="Calibri"/>
          <w:color w:val="555555"/>
          <w:sz w:val="20"/>
          <w:szCs w:val="20"/>
        </w:rPr>
        <w:t xml:space="preserve">Disusun untuk: Rizky Wildansani (23/522276/SV/23644) — draf proposal Proyek Akhir</w:t>
      </w:r>
    </w:p>
    <w:p>
      <w:pPr>
        <w:pStyle w:val="Heading1"/>
        <w:spacing w:after="150" w:before="300"/>
      </w:pPr>
      <w:r>
        <w:t xml:space="preserve">1. Ringkasan Topik &amp; Strategi Pencarian</w:t>
      </w:r>
    </w:p>
    <w:p>
      <w:pPr>
        <w:spacing w:after="160"/>
      </w:pPr>
      <w:r>
        <w:rPr>
          <w:rFonts w:ascii="Calibri" w:cs="Calibri" w:eastAsia="Calibri" w:hAnsi="Calibri"/>
          <w:sz w:val="22"/>
          <w:szCs w:val="22"/>
        </w:rPr>
        <w:t xml:space="preserve">Topik: implementasi Zero Trust Architecture (ZTA) yang ditambah lapisan deteksi anomali berbasis machine learning (Random Forest) untuk mendeteksi penyalahgunaan kredensial sah pada trafik yang sudah terautentikasi, dibandingkan dengan model tradisional (perimeter-based) dan ZTA statis, diuji lewat purwarupa jaringan simulasi berbasis Docker.</w:t>
      </w:r>
    </w:p>
    <w:p>
      <w:pPr>
        <w:spacing w:after="160"/>
      </w:pPr>
      <w:r>
        <w:rPr>
          <w:rFonts w:ascii="Calibri" w:cs="Calibri" w:eastAsia="Calibri" w:hAnsi="Calibri"/>
          <w:sz w:val="22"/>
          <w:szCs w:val="22"/>
        </w:rPr>
        <w:t xml:space="preserve">Konsep pencarian yang digunakan:</w:t>
      </w:r>
    </w:p>
    <w:p>
      <w:pPr>
        <w:pStyle w:val="ListParagraph"/>
        <w:numPr>
          <w:ilvl w:val="0"/>
          <w:numId w:val="1"/>
        </w:numPr>
        <w:spacing w:after="80"/>
      </w:pPr>
      <w:r>
        <w:rPr>
          <w:rFonts w:ascii="Calibri" w:cs="Calibri" w:eastAsia="Calibri" w:hAnsi="Calibri"/>
          <w:sz w:val="22"/>
          <w:szCs w:val="22"/>
        </w:rPr>
        <w:t xml:space="preserve">Masalah: unauthorized access, credential abuse, lateral movement, implicit trust</w:t>
      </w:r>
    </w:p>
    <w:p>
      <w:pPr>
        <w:pStyle w:val="ListParagraph"/>
        <w:numPr>
          <w:ilvl w:val="0"/>
          <w:numId w:val="1"/>
        </w:numPr>
        <w:spacing w:after="80"/>
      </w:pPr>
      <w:r>
        <w:rPr>
          <w:rFonts w:ascii="Calibri" w:cs="Calibri" w:eastAsia="Calibri" w:hAnsi="Calibri"/>
          <w:sz w:val="22"/>
          <w:szCs w:val="22"/>
        </w:rPr>
        <w:t xml:space="preserve">Domain: enterprise network security, IoT/cloud-native network, financial/banking network</w:t>
      </w:r>
    </w:p>
    <w:p>
      <w:pPr>
        <w:pStyle w:val="ListParagraph"/>
        <w:numPr>
          <w:ilvl w:val="0"/>
          <w:numId w:val="1"/>
        </w:numPr>
        <w:spacing w:after="80"/>
      </w:pPr>
      <w:r>
        <w:rPr>
          <w:rFonts w:ascii="Calibri" w:cs="Calibri" w:eastAsia="Calibri" w:hAnsi="Calibri"/>
          <w:sz w:val="22"/>
          <w:szCs w:val="22"/>
        </w:rPr>
        <w:t xml:space="preserve">Teknologi: Zero Trust Architecture, micro-segmentation, mTLS, continuous authentication</w:t>
      </w:r>
    </w:p>
    <w:p>
      <w:pPr>
        <w:pStyle w:val="ListParagraph"/>
        <w:numPr>
          <w:ilvl w:val="0"/>
          <w:numId w:val="1"/>
        </w:numPr>
        <w:spacing w:after="80"/>
      </w:pPr>
      <w:r>
        <w:rPr>
          <w:rFonts w:ascii="Calibri" w:cs="Calibri" w:eastAsia="Calibri" w:hAnsi="Calibri"/>
          <w:sz w:val="22"/>
          <w:szCs w:val="22"/>
        </w:rPr>
        <w:t xml:space="preserve">Metode: machine learning anomaly detection, Random Forest, supervised/unsupervised learning, federated learning</w:t>
      </w:r>
    </w:p>
    <w:p>
      <w:pPr>
        <w:pStyle w:val="ListParagraph"/>
        <w:numPr>
          <w:ilvl w:val="0"/>
          <w:numId w:val="1"/>
        </w:numPr>
        <w:spacing w:after="80"/>
      </w:pPr>
      <w:r>
        <w:rPr>
          <w:rFonts w:ascii="Calibri" w:cs="Calibri" w:eastAsia="Calibri" w:hAnsi="Calibri"/>
          <w:sz w:val="22"/>
          <w:szCs w:val="22"/>
        </w:rPr>
        <w:t xml:space="preserve">Aplikasi: containerized testbed (Docker), simulasi serangan, studi kasus Indonesia (perbankan/finansial)</w:t>
      </w:r>
    </w:p>
    <w:p>
      <w:pPr>
        <w:pStyle w:val="ListParagraph"/>
        <w:numPr>
          <w:ilvl w:val="0"/>
          <w:numId w:val="1"/>
        </w:numPr>
        <w:spacing w:after="80"/>
      </w:pPr>
      <w:r>
        <w:rPr>
          <w:rFonts w:ascii="Calibri" w:cs="Calibri" w:eastAsia="Calibri" w:hAnsi="Calibri"/>
          <w:sz w:val="22"/>
          <w:szCs w:val="22"/>
        </w:rPr>
        <w:t xml:space="preserve">Evaluasi: precision/recall/F1-score, latency overhead, throughput, RTT/jitter</w:t>
      </w:r>
    </w:p>
    <w:p>
      <w:pPr>
        <w:spacing w:after="160"/>
      </w:pPr>
      <w:r>
        <w:rPr>
          <w:rFonts w:ascii="Calibri" w:cs="Calibri" w:eastAsia="Calibri" w:hAnsi="Calibri"/>
          <w:sz w:val="22"/>
          <w:szCs w:val="22"/>
        </w:rPr>
        <w:t xml:space="preserve">Query yang dijalankan (contoh): "zero trust architecture machine learning anomaly detection", "lateral movement detection random forest", "zero trust micro-segmentation performance overhead latency", "zero trust financial service Indonesia", "docker container security testbed simulation". Sumber diprioritaskan pada artikel arXiv/preprint terindeks, jurnal (ScienceDirect, Springer, IEEE Xplore, Nature), publikasi resmi NIST, dan tesis/skripsi repositori kampus Indonesia.</w:t>
      </w:r>
    </w:p>
    <w:p>
      <w:pPr>
        <w:pStyle w:val="Heading1"/>
        <w:spacing w:after="150" w:before="300"/>
      </w:pPr>
      <w:r>
        <w:t xml:space="preserve">2. Catatan Verifikasi — Latar Belakang Insiden Taiwan</w:t>
      </w:r>
    </w:p>
    <w:p>
      <w:pPr>
        <w:spacing w:after="160"/>
      </w:pPr>
      <w:r>
        <w:rPr>
          <w:rFonts w:ascii="Calibri" w:cs="Calibri" w:eastAsia="Calibri" w:hAnsi="Calibri"/>
          <w:sz w:val="22"/>
          <w:szCs w:val="22"/>
        </w:rPr>
        <w:t xml:space="preserve">Insiden yang dirujuk di latar belakang proposal (serangan siber otonom berbasis multi-agent AI terhadap sistem pemerintah Taiwan, Juli 2026) terverifikasi terjadi dan diberitakan luas (CNN, CyberScoop, CSO Online, The Register, Financial Times), namun sumber penelitian utamanya adalah firma keamanan siber Dream (bukan Reuters sebagai peneliti). Kronologi terverifikasi:</w:t>
      </w:r>
    </w:p>
    <w:p>
      <w:pPr>
        <w:pStyle w:val="ListParagraph"/>
        <w:numPr>
          <w:ilvl w:val="0"/>
          <w:numId w:val="1"/>
        </w:numPr>
        <w:spacing w:after="80"/>
      </w:pPr>
      <w:r>
        <w:rPr>
          <w:rFonts w:ascii="Calibri" w:cs="Calibri" w:eastAsia="Calibri" w:hAnsi="Calibri"/>
          <w:sz w:val="22"/>
          <w:szCs w:val="22"/>
        </w:rPr>
        <w:t xml:space="preserve">Serangan berlangsung 4 hari (1–4 Juli 2026), 12 "attack wave", hingga 8 sub-agen paralel per wave, dibangun di atas framework open-source Hermes dan OpenClaw.</w:t>
      </w:r>
    </w:p>
    <w:p>
      <w:pPr>
        <w:pStyle w:val="ListParagraph"/>
        <w:numPr>
          <w:ilvl w:val="0"/>
          <w:numId w:val="1"/>
        </w:numPr>
        <w:spacing w:after="80"/>
      </w:pPr>
      <w:r>
        <w:rPr>
          <w:rFonts w:ascii="Calibri" w:cs="Calibri" w:eastAsia="Calibri" w:hAnsi="Calibri"/>
          <w:sz w:val="22"/>
          <w:szCs w:val="22"/>
        </w:rPr>
        <w:t xml:space="preserve">Berhasil memetakan 21 sistem pemerintah terhubung beserta arsitektur SSO-nya, dan membobol setidaknya 85 akun pengguna serta lebih dari 2.500 data personel.</w:t>
      </w:r>
    </w:p>
    <w:p>
      <w:pPr>
        <w:pStyle w:val="ListParagraph"/>
        <w:numPr>
          <w:ilvl w:val="0"/>
          <w:numId w:val="1"/>
        </w:numPr>
        <w:spacing w:after="80"/>
      </w:pPr>
      <w:r>
        <w:rPr>
          <w:rFonts w:ascii="Calibri" w:cs="Calibri" w:eastAsia="Calibri" w:hAnsi="Calibri"/>
          <w:sz w:val="22"/>
          <w:szCs w:val="22"/>
        </w:rPr>
        <w:t xml:space="preserve">Reuters melaporkan konfirmasi dari Kementerian Urusan Digital Taiwan (bukan detail teknis serangan) — jadi sitasi "[Reuters, Agustus 2026]" lebih tepat diarahkan ke pernyataan resmi Kementerian, sedangkan detail teknis (mapping 21 sistem, 85 akun) sebaiknya disitasi ke laporan riset Dream / liputan Financial Times-CyberScoop-CNN.</w:t>
      </w:r>
    </w:p>
    <w:p>
      <w:pPr>
        <w:spacing w:after="160"/>
      </w:pPr>
      <w:r>
        <w:rPr>
          <w:rFonts w:ascii="Calibri" w:cs="Calibri" w:eastAsia="Calibri" w:hAnsi="Calibri"/>
          <w:sz w:val="22"/>
          <w:szCs w:val="22"/>
        </w:rPr>
        <w:t xml:space="preserve">Saran perbaikan sitasi di proposal: pisahkan sumber teknis (Dream Research / Financial Times / CyberScoop, Agustus 2026) dari sumber konfirmasi resmi (Reuters, mengutip Kementerian Urusan Digital Taiwan, Agustus 2026), agar sesuai kaidah akademik dan tidak menggabungkan dua sumber berbeda dalam satu sitasi.</w:t>
      </w:r>
    </w:p>
    <w:p>
      <w:pPr>
        <w:pStyle w:val="Heading1"/>
        <w:spacing w:after="150" w:before="300"/>
      </w:pPr>
      <w:r>
        <w:t xml:space="preserve">3. Literatur yang Direkomendasikan</w:t>
      </w:r>
    </w:p>
    <w:p>
      <w:pPr>
        <w:pStyle w:val="Heading2"/>
        <w:spacing w:after="120" w:before="240"/>
      </w:pPr>
      <w:r>
        <w:t xml:space="preserve">3.1 Fondasi &amp; Survei Zero Trust Architecture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600"/>
        <w:gridCol w:w="2200"/>
        <w:gridCol w:w="2000"/>
        <w:gridCol w:w="1600"/>
      </w:tblGrid>
      <w:tr>
        <w:trPr>
          <w:tblHeader/>
        </w:trPr>
        <w:tc>
          <w:tcPr>
            <w:tcW w:type="dxa" w:w="5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No</w:t>
            </w:r>
          </w:p>
        </w:tc>
        <w:tc>
          <w:tcPr>
            <w:tcW w:type="dxa" w:w="2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Penulis &amp; Tahun</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Venue</w:t>
            </w:r>
          </w:p>
        </w:tc>
        <w:tc>
          <w:tcPr>
            <w:tcW w:type="dxa" w:w="22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Fokus Utama</w:t>
            </w:r>
          </w:p>
        </w:tc>
        <w:tc>
          <w:tcPr>
            <w:tcW w:type="dxa" w:w="20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Metode</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Relevansi</w:t>
            </w:r>
          </w:p>
        </w:tc>
      </w:tr>
      <w:tr>
        <w:tc>
          <w:tcPr>
            <w:tcW w:type="dxa" w:w="500"/>
            <w:tcMar>
              <w:top w:type="dxa" w:w="80"/>
              <w:left w:type="dxa" w:w="100"/>
              <w:bottom w:type="dxa" w:w="80"/>
              <w:right w:type="dxa" w:w="100"/>
            </w:tcMar>
          </w:tcPr>
          <w:p>
            <w:r>
              <w:rPr>
                <w:rFonts w:ascii="Calibri" w:cs="Calibri" w:eastAsia="Calibri" w:hAnsi="Calibri"/>
                <w:sz w:val="19"/>
                <w:szCs w:val="19"/>
              </w:rPr>
              <w:t xml:space="preserve">1</w:t>
            </w:r>
          </w:p>
        </w:tc>
        <w:tc>
          <w:tcPr>
            <w:tcW w:type="dxa" w:w="2600"/>
            <w:tcMar>
              <w:top w:type="dxa" w:w="80"/>
              <w:left w:type="dxa" w:w="100"/>
              <w:bottom w:type="dxa" w:w="80"/>
              <w:right w:type="dxa" w:w="100"/>
            </w:tcMar>
          </w:tcPr>
          <w:p>
            <w:r>
              <w:rPr>
                <w:rFonts w:ascii="Calibri" w:cs="Calibri" w:eastAsia="Calibri" w:hAnsi="Calibri"/>
                <w:sz w:val="19"/>
                <w:szCs w:val="19"/>
              </w:rPr>
              <w:t xml:space="preserve">Rose, Borchert, Mitchell &amp; Connelly (2020)</w:t>
            </w:r>
          </w:p>
        </w:tc>
        <w:tc>
          <w:tcPr>
            <w:tcW w:type="dxa" w:w="1600"/>
            <w:tcMar>
              <w:top w:type="dxa" w:w="80"/>
              <w:left w:type="dxa" w:w="100"/>
              <w:bottom w:type="dxa" w:w="80"/>
              <w:right w:type="dxa" w:w="100"/>
            </w:tcMar>
          </w:tcPr>
          <w:p>
            <w:r>
              <w:rPr>
                <w:rFonts w:ascii="Calibri" w:cs="Calibri" w:eastAsia="Calibri" w:hAnsi="Calibri"/>
                <w:sz w:val="19"/>
                <w:szCs w:val="19"/>
              </w:rPr>
              <w:t xml:space="preserve">NIST SP 800-207</w:t>
            </w:r>
          </w:p>
        </w:tc>
        <w:tc>
          <w:tcPr>
            <w:tcW w:type="dxa" w:w="2200"/>
            <w:tcMar>
              <w:top w:type="dxa" w:w="80"/>
              <w:left w:type="dxa" w:w="100"/>
              <w:bottom w:type="dxa" w:w="80"/>
              <w:right w:type="dxa" w:w="100"/>
            </w:tcMar>
          </w:tcPr>
          <w:p>
            <w:r>
              <w:rPr>
                <w:rFonts w:ascii="Calibri" w:cs="Calibri" w:eastAsia="Calibri" w:hAnsi="Calibri"/>
                <w:sz w:val="19"/>
                <w:szCs w:val="19"/>
              </w:rPr>
              <w:t xml:space="preserve">Standar acuan ZTA: komponen logis (PDP/PEP/PA), prinsip "never trust, always verify"</w:t>
            </w:r>
          </w:p>
        </w:tc>
        <w:tc>
          <w:tcPr>
            <w:tcW w:type="dxa" w:w="2000"/>
            <w:tcMar>
              <w:top w:type="dxa" w:w="80"/>
              <w:left w:type="dxa" w:w="100"/>
              <w:bottom w:type="dxa" w:w="80"/>
              <w:right w:type="dxa" w:w="100"/>
            </w:tcMar>
          </w:tcPr>
          <w:p>
            <w:r>
              <w:rPr>
                <w:rFonts w:ascii="Calibri" w:cs="Calibri" w:eastAsia="Calibri" w:hAnsi="Calibri"/>
                <w:sz w:val="19"/>
                <w:szCs w:val="19"/>
              </w:rPr>
              <w:t xml:space="preserve">Spesifikasi arsitektur / standar</w:t>
            </w:r>
          </w:p>
        </w:tc>
        <w:tc>
          <w:tcPr>
            <w:tcW w:type="dxa" w:w="1600"/>
            <w:tcMar>
              <w:top w:type="dxa" w:w="80"/>
              <w:left w:type="dxa" w:w="100"/>
              <w:bottom w:type="dxa" w:w="80"/>
              <w:right w:type="dxa" w:w="100"/>
            </w:tcMar>
          </w:tcPr>
          <w:p>
            <w:r>
              <w:rPr>
                <w:rFonts w:ascii="Calibri" w:cs="Calibri" w:eastAsia="Calibri" w:hAnsi="Calibri"/>
                <w:sz w:val="19"/>
                <w:szCs w:val="19"/>
              </w:rPr>
              <w:t xml:space="preserve">Tinggi — dasar definisi ZTA. Catatan: versi 2020 berstatus superseded/revisi berjalan (ada draf 800-207A untuk cloud-native); tetap jadi rujukan definisi baku</w:t>
            </w:r>
          </w:p>
        </w:tc>
      </w:tr>
      <w:tr>
        <w:tc>
          <w:tcPr>
            <w:tcW w:type="dxa" w:w="500"/>
            <w:tcMar>
              <w:top w:type="dxa" w:w="80"/>
              <w:left w:type="dxa" w:w="100"/>
              <w:bottom w:type="dxa" w:w="80"/>
              <w:right w:type="dxa" w:w="100"/>
            </w:tcMar>
          </w:tcPr>
          <w:p>
            <w:r>
              <w:rPr>
                <w:rFonts w:ascii="Calibri" w:cs="Calibri" w:eastAsia="Calibri" w:hAnsi="Calibri"/>
                <w:sz w:val="19"/>
                <w:szCs w:val="19"/>
              </w:rPr>
              <w:t xml:space="preserve">2</w:t>
            </w:r>
          </w:p>
        </w:tc>
        <w:tc>
          <w:tcPr>
            <w:tcW w:type="dxa" w:w="2600"/>
            <w:tcMar>
              <w:top w:type="dxa" w:w="80"/>
              <w:left w:type="dxa" w:w="100"/>
              <w:bottom w:type="dxa" w:w="80"/>
              <w:right w:type="dxa" w:w="100"/>
            </w:tcMar>
          </w:tcPr>
          <w:p>
            <w:r>
              <w:rPr>
                <w:rFonts w:ascii="Calibri" w:cs="Calibri" w:eastAsia="Calibri" w:hAnsi="Calibri"/>
                <w:sz w:val="19"/>
                <w:szCs w:val="19"/>
              </w:rPr>
              <w:t xml:space="preserve">(arXiv, 2025)</w:t>
            </w:r>
          </w:p>
        </w:tc>
        <w:tc>
          <w:tcPr>
            <w:tcW w:type="dxa" w:w="1600"/>
            <w:tcMar>
              <w:top w:type="dxa" w:w="80"/>
              <w:left w:type="dxa" w:w="100"/>
              <w:bottom w:type="dxa" w:w="80"/>
              <w:right w:type="dxa" w:w="100"/>
            </w:tcMar>
          </w:tcPr>
          <w:p>
            <w:r>
              <w:rPr>
                <w:rFonts w:ascii="Calibri" w:cs="Calibri" w:eastAsia="Calibri" w:hAnsi="Calibri"/>
                <w:sz w:val="19"/>
                <w:szCs w:val="19"/>
              </w:rPr>
              <w:t xml:space="preserve">Zero Trust Architecture: A Systematic Literature Review</w:t>
            </w:r>
          </w:p>
        </w:tc>
        <w:tc>
          <w:tcPr>
            <w:tcW w:type="dxa" w:w="2200"/>
            <w:tcMar>
              <w:top w:type="dxa" w:w="80"/>
              <w:left w:type="dxa" w:w="100"/>
              <w:bottom w:type="dxa" w:w="80"/>
              <w:right w:type="dxa" w:w="100"/>
            </w:tcMar>
          </w:tcPr>
          <w:p>
            <w:r>
              <w:rPr>
                <w:rFonts w:ascii="Calibri" w:cs="Calibri" w:eastAsia="Calibri" w:hAnsi="Calibri"/>
                <w:sz w:val="19"/>
                <w:szCs w:val="19"/>
              </w:rPr>
              <w:t xml:space="preserve">arXiv 2503.11659</w:t>
            </w:r>
          </w:p>
        </w:tc>
        <w:tc>
          <w:tcPr>
            <w:tcW w:type="dxa" w:w="2000"/>
            <w:tcMar>
              <w:top w:type="dxa" w:w="80"/>
              <w:left w:type="dxa" w:w="100"/>
              <w:bottom w:type="dxa" w:w="80"/>
              <w:right w:type="dxa" w:w="100"/>
            </w:tcMar>
          </w:tcPr>
          <w:p>
            <w:r>
              <w:rPr>
                <w:rFonts w:ascii="Calibri" w:cs="Calibri" w:eastAsia="Calibri" w:hAnsi="Calibri"/>
                <w:sz w:val="19"/>
                <w:szCs w:val="19"/>
              </w:rPr>
              <w:t xml:space="preserve">Pemetaan literatur ZTA 2020–2025 termasuk AI/anomaly detection &amp; lateral movement</w:t>
            </w:r>
          </w:p>
        </w:tc>
        <w:tc>
          <w:tcPr>
            <w:tcW w:type="dxa" w:w="1600"/>
            <w:tcMar>
              <w:top w:type="dxa" w:w="80"/>
              <w:left w:type="dxa" w:w="100"/>
              <w:bottom w:type="dxa" w:w="80"/>
              <w:right w:type="dxa" w:w="100"/>
            </w:tcMar>
          </w:tcPr>
          <w:p>
            <w:r>
              <w:rPr>
                <w:rFonts w:ascii="Calibri" w:cs="Calibri" w:eastAsia="Calibri" w:hAnsi="Calibri"/>
                <w:sz w:val="19"/>
                <w:szCs w:val="19"/>
              </w:rPr>
              <w:t xml:space="preserve">Systematic Literature Review</w:t>
            </w:r>
          </w:p>
        </w:tc>
        <w:tc>
          <w:tcPr>
            <w:tcW w:type="dxa" w:w="1000"/>
            <w:tcMar>
              <w:top w:type="dxa" w:w="80"/>
              <w:left w:type="dxa" w:w="100"/>
              <w:bottom w:type="dxa" w:w="80"/>
              <w:right w:type="dxa" w:w="100"/>
            </w:tcMar>
          </w:tcPr>
          <w:p>
            <w:r>
              <w:rPr>
                <w:rFonts w:ascii="Calibri" w:cs="Calibri" w:eastAsia="Calibri" w:hAnsi="Calibri"/>
                <w:sz w:val="19"/>
                <w:szCs w:val="19"/>
              </w:rPr>
              <w:t xml:space="preserve">Tinggi — peta literatur &amp; referensi turunan (Pokhrel et al., Latte, dsb.)</w:t>
            </w:r>
          </w:p>
        </w:tc>
      </w:tr>
      <w:tr>
        <w:tc>
          <w:tcPr>
            <w:tcW w:type="dxa" w:w="500"/>
            <w:tcMar>
              <w:top w:type="dxa" w:w="80"/>
              <w:left w:type="dxa" w:w="100"/>
              <w:bottom w:type="dxa" w:w="80"/>
              <w:right w:type="dxa" w:w="100"/>
            </w:tcMar>
          </w:tcPr>
          <w:p>
            <w:r>
              <w:rPr>
                <w:rFonts w:ascii="Calibri" w:cs="Calibri" w:eastAsia="Calibri" w:hAnsi="Calibri"/>
                <w:sz w:val="19"/>
                <w:szCs w:val="19"/>
              </w:rPr>
              <w:t xml:space="preserve">3</w:t>
            </w:r>
          </w:p>
        </w:tc>
        <w:tc>
          <w:tcPr>
            <w:tcW w:type="dxa" w:w="2600"/>
            <w:tcMar>
              <w:top w:type="dxa" w:w="80"/>
              <w:left w:type="dxa" w:w="100"/>
              <w:bottom w:type="dxa" w:w="80"/>
              <w:right w:type="dxa" w:w="100"/>
            </w:tcMar>
          </w:tcPr>
          <w:p>
            <w:r>
              <w:rPr>
                <w:rFonts w:ascii="Calibri" w:cs="Calibri" w:eastAsia="Calibri" w:hAnsi="Calibri"/>
                <w:sz w:val="19"/>
                <w:szCs w:val="19"/>
              </w:rPr>
              <w:t xml:space="preserve">Kang, Liu, Wang, Meng &amp; Liu (2023)</w:t>
            </w:r>
          </w:p>
        </w:tc>
        <w:tc>
          <w:tcPr>
            <w:tcW w:type="dxa" w:w="1600"/>
            <w:tcMar>
              <w:top w:type="dxa" w:w="80"/>
              <w:left w:type="dxa" w:w="100"/>
              <w:bottom w:type="dxa" w:w="80"/>
              <w:right w:type="dxa" w:w="100"/>
            </w:tcMar>
          </w:tcPr>
          <w:p>
            <w:r>
              <w:rPr>
                <w:rFonts w:ascii="Calibri" w:cs="Calibri" w:eastAsia="Calibri" w:hAnsi="Calibri"/>
                <w:sz w:val="19"/>
                <w:szCs w:val="19"/>
              </w:rPr>
              <w:t xml:space="preserve">Theory and Application of Zero Trust Security: A Brief Survey</w:t>
            </w:r>
          </w:p>
        </w:tc>
        <w:tc>
          <w:tcPr>
            <w:tcW w:type="dxa" w:w="2200"/>
            <w:tcMar>
              <w:top w:type="dxa" w:w="80"/>
              <w:left w:type="dxa" w:w="100"/>
              <w:bottom w:type="dxa" w:w="80"/>
              <w:right w:type="dxa" w:w="100"/>
            </w:tcMar>
          </w:tcPr>
          <w:p>
            <w:r>
              <w:rPr>
                <w:rFonts w:ascii="Calibri" w:cs="Calibri" w:eastAsia="Calibri" w:hAnsi="Calibri"/>
                <w:sz w:val="19"/>
                <w:szCs w:val="19"/>
              </w:rPr>
              <w:t xml:space="preserve">Entropy, vol. 25(12)</w:t>
            </w:r>
          </w:p>
        </w:tc>
        <w:tc>
          <w:tcPr>
            <w:tcW w:type="dxa" w:w="2000"/>
            <w:tcMar>
              <w:top w:type="dxa" w:w="80"/>
              <w:left w:type="dxa" w:w="100"/>
              <w:bottom w:type="dxa" w:w="80"/>
              <w:right w:type="dxa" w:w="100"/>
            </w:tcMar>
          </w:tcPr>
          <w:p>
            <w:r>
              <w:rPr>
                <w:rFonts w:ascii="Calibri" w:cs="Calibri" w:eastAsia="Calibri" w:hAnsi="Calibri"/>
                <w:sz w:val="19"/>
                <w:szCs w:val="19"/>
              </w:rPr>
              <w:t xml:space="preserve">Tinjauan teori &amp; penerapan ZT lintas domain</w:t>
            </w:r>
          </w:p>
        </w:tc>
        <w:tc>
          <w:tcPr>
            <w:tcW w:type="dxa" w:w="1600"/>
            <w:tcMar>
              <w:top w:type="dxa" w:w="80"/>
              <w:left w:type="dxa" w:w="100"/>
              <w:bottom w:type="dxa" w:w="80"/>
              <w:right w:type="dxa" w:w="100"/>
            </w:tcMar>
          </w:tcPr>
          <w:p>
            <w:r>
              <w:rPr>
                <w:rFonts w:ascii="Calibri" w:cs="Calibri" w:eastAsia="Calibri" w:hAnsi="Calibri"/>
                <w:sz w:val="19"/>
                <w:szCs w:val="19"/>
              </w:rPr>
              <w:t xml:space="preserve">Survei</w:t>
            </w:r>
          </w:p>
        </w:tc>
        <w:tc>
          <w:tcPr>
            <w:tcW w:type="dxa" w:w="1000"/>
            <w:tcMar>
              <w:top w:type="dxa" w:w="80"/>
              <w:left w:type="dxa" w:w="100"/>
              <w:bottom w:type="dxa" w:w="80"/>
              <w:right w:type="dxa" w:w="100"/>
            </w:tcMar>
          </w:tcPr>
          <w:p>
            <w:r>
              <w:rPr>
                <w:rFonts w:ascii="Calibri" w:cs="Calibri" w:eastAsia="Calibri" w:hAnsi="Calibri"/>
                <w:sz w:val="19"/>
                <w:szCs w:val="19"/>
              </w:rPr>
              <w:t xml:space="preserve">Sedang — latar belakang konseptual</w:t>
            </w:r>
          </w:p>
        </w:tc>
      </w:tr>
      <w:tr>
        <w:tc>
          <w:tcPr>
            <w:tcW w:type="dxa" w:w="500"/>
            <w:tcMar>
              <w:top w:type="dxa" w:w="80"/>
              <w:left w:type="dxa" w:w="100"/>
              <w:bottom w:type="dxa" w:w="80"/>
              <w:right w:type="dxa" w:w="100"/>
            </w:tcMar>
          </w:tcPr>
          <w:p>
            <w:r>
              <w:rPr>
                <w:rFonts w:ascii="Calibri" w:cs="Calibri" w:eastAsia="Calibri" w:hAnsi="Calibri"/>
                <w:sz w:val="19"/>
                <w:szCs w:val="19"/>
              </w:rPr>
              <w:t xml:space="preserve">4</w:t>
            </w:r>
          </w:p>
        </w:tc>
        <w:tc>
          <w:tcPr>
            <w:tcW w:type="dxa" w:w="2600"/>
            <w:tcMar>
              <w:top w:type="dxa" w:w="80"/>
              <w:left w:type="dxa" w:w="100"/>
              <w:bottom w:type="dxa" w:w="80"/>
              <w:right w:type="dxa" w:w="100"/>
            </w:tcMar>
          </w:tcPr>
          <w:p>
            <w:r>
              <w:rPr>
                <w:rFonts w:ascii="Calibri" w:cs="Calibri" w:eastAsia="Calibri" w:hAnsi="Calibri"/>
                <w:sz w:val="19"/>
                <w:szCs w:val="19"/>
              </w:rPr>
              <w:t xml:space="preserve">(OAE Publishing, 2024)</w:t>
            </w:r>
          </w:p>
        </w:tc>
        <w:tc>
          <w:tcPr>
            <w:tcW w:type="dxa" w:w="1600"/>
            <w:tcMar>
              <w:top w:type="dxa" w:w="80"/>
              <w:left w:type="dxa" w:w="100"/>
              <w:bottom w:type="dxa" w:w="80"/>
              <w:right w:type="dxa" w:w="100"/>
            </w:tcMar>
          </w:tcPr>
          <w:p>
            <w:r>
              <w:rPr>
                <w:rFonts w:ascii="Calibri" w:cs="Calibri" w:eastAsia="Calibri" w:hAnsi="Calibri"/>
                <w:sz w:val="19"/>
                <w:szCs w:val="19"/>
              </w:rPr>
              <w:t xml:space="preserve">Zero trust implementation in the emerging technologies era: a survey</w:t>
            </w:r>
          </w:p>
        </w:tc>
        <w:tc>
          <w:tcPr>
            <w:tcW w:type="dxa" w:w="2200"/>
            <w:tcMar>
              <w:top w:type="dxa" w:w="80"/>
              <w:left w:type="dxa" w:w="100"/>
              <w:bottom w:type="dxa" w:w="80"/>
              <w:right w:type="dxa" w:w="100"/>
            </w:tcMar>
          </w:tcPr>
          <w:p>
            <w:r>
              <w:rPr>
                <w:rFonts w:ascii="Calibri" w:cs="Calibri" w:eastAsia="Calibri" w:hAnsi="Calibri"/>
                <w:sz w:val="19"/>
                <w:szCs w:val="19"/>
              </w:rPr>
              <w:t xml:space="preserve">Complex Eng. Syst. (CES) 2024</w:t>
            </w:r>
          </w:p>
        </w:tc>
        <w:tc>
          <w:tcPr>
            <w:tcW w:type="dxa" w:w="2000"/>
            <w:tcMar>
              <w:top w:type="dxa" w:w="80"/>
              <w:left w:type="dxa" w:w="100"/>
              <w:bottom w:type="dxa" w:w="80"/>
              <w:right w:type="dxa" w:w="100"/>
            </w:tcMar>
          </w:tcPr>
          <w:p>
            <w:r>
              <w:rPr>
                <w:rFonts w:ascii="Calibri" w:cs="Calibri" w:eastAsia="Calibri" w:hAnsi="Calibri"/>
                <w:sz w:val="19"/>
                <w:szCs w:val="19"/>
              </w:rPr>
              <w:t xml:space="preserve">Transisi perimeter→ZT; ML untuk deteksi anomali &amp; prediksi ancaman; chaos theory + XDR</w:t>
            </w:r>
          </w:p>
        </w:tc>
        <w:tc>
          <w:tcPr>
            <w:tcW w:type="dxa" w:w="1600"/>
            <w:tcMar>
              <w:top w:type="dxa" w:w="80"/>
              <w:left w:type="dxa" w:w="100"/>
              <w:bottom w:type="dxa" w:w="80"/>
              <w:right w:type="dxa" w:w="100"/>
            </w:tcMar>
          </w:tcPr>
          <w:p>
            <w:r>
              <w:rPr>
                <w:rFonts w:ascii="Calibri" w:cs="Calibri" w:eastAsia="Calibri" w:hAnsi="Calibri"/>
                <w:sz w:val="19"/>
                <w:szCs w:val="19"/>
              </w:rPr>
              <w:t xml:space="preserve">Survei naratif</w:t>
            </w:r>
          </w:p>
        </w:tc>
        <w:tc>
          <w:tcPr>
            <w:tcW w:type="dxa" w:w="1000"/>
            <w:tcMar>
              <w:top w:type="dxa" w:w="80"/>
              <w:left w:type="dxa" w:w="100"/>
              <w:bottom w:type="dxa" w:w="80"/>
              <w:right w:type="dxa" w:w="100"/>
            </w:tcMar>
          </w:tcPr>
          <w:p>
            <w:r>
              <w:rPr>
                <w:rFonts w:ascii="Calibri" w:cs="Calibri" w:eastAsia="Calibri" w:hAnsi="Calibri"/>
                <w:sz w:val="19"/>
                <w:szCs w:val="19"/>
              </w:rPr>
              <w:t xml:space="preserve">Tinggi — menghubungkan ZT statis dengan lapisan ML, relevan untuk latar belakang &amp; landasan teori</w:t>
            </w:r>
          </w:p>
        </w:tc>
      </w:tr>
    </w:tbl>
    <w:p>
      <w:pPr>
        <w:spacing w:after="200"/>
      </w:pPr>
    </w:p>
    <w:p>
      <w:pPr>
        <w:pStyle w:val="Heading2"/>
        <w:spacing w:after="120" w:before="240"/>
      </w:pPr>
      <w:r>
        <w:t xml:space="preserve">3.2 ZTA + Machine Learning / Deteksi Anomali (Autentikasi Adaptif)</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600"/>
        <w:gridCol w:w="2200"/>
        <w:gridCol w:w="2000"/>
        <w:gridCol w:w="1600"/>
      </w:tblGrid>
      <w:tr>
        <w:trPr>
          <w:tblHeader/>
        </w:trPr>
        <w:tc>
          <w:tcPr>
            <w:tcW w:type="dxa" w:w="5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No</w:t>
            </w:r>
          </w:p>
        </w:tc>
        <w:tc>
          <w:tcPr>
            <w:tcW w:type="dxa" w:w="2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Penulis &amp; Tahun</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Venue</w:t>
            </w:r>
          </w:p>
        </w:tc>
        <w:tc>
          <w:tcPr>
            <w:tcW w:type="dxa" w:w="22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Fokus Utama</w:t>
            </w:r>
          </w:p>
        </w:tc>
        <w:tc>
          <w:tcPr>
            <w:tcW w:type="dxa" w:w="20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Metode</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Relevansi</w:t>
            </w:r>
          </w:p>
        </w:tc>
      </w:tr>
      <w:tr>
        <w:tc>
          <w:tcPr>
            <w:tcW w:type="dxa" w:w="500"/>
            <w:tcMar>
              <w:top w:type="dxa" w:w="80"/>
              <w:left w:type="dxa" w:w="100"/>
              <w:bottom w:type="dxa" w:w="80"/>
              <w:right w:type="dxa" w:w="100"/>
            </w:tcMar>
          </w:tcPr>
          <w:p>
            <w:r>
              <w:rPr>
                <w:rFonts w:ascii="Calibri" w:cs="Calibri" w:eastAsia="Calibri" w:hAnsi="Calibri"/>
                <w:sz w:val="19"/>
                <w:szCs w:val="19"/>
              </w:rPr>
              <w:t xml:space="preserve">5</w:t>
            </w:r>
          </w:p>
        </w:tc>
        <w:tc>
          <w:tcPr>
            <w:tcW w:type="dxa" w:w="2600"/>
            <w:tcMar>
              <w:top w:type="dxa" w:w="80"/>
              <w:left w:type="dxa" w:w="100"/>
              <w:bottom w:type="dxa" w:w="80"/>
              <w:right w:type="dxa" w:w="100"/>
            </w:tcMar>
          </w:tcPr>
          <w:p>
            <w:r>
              <w:rPr>
                <w:rFonts w:ascii="Calibri" w:cs="Calibri" w:eastAsia="Calibri" w:hAnsi="Calibri"/>
                <w:sz w:val="19"/>
                <w:szCs w:val="19"/>
              </w:rPr>
              <w:t xml:space="preserve">Pokhrel, Yang, Rajasegarar &amp; Li (2024)</w:t>
            </w:r>
          </w:p>
        </w:tc>
        <w:tc>
          <w:tcPr>
            <w:tcW w:type="dxa" w:w="1600"/>
            <w:tcMar>
              <w:top w:type="dxa" w:w="80"/>
              <w:left w:type="dxa" w:w="100"/>
              <w:bottom w:type="dxa" w:w="80"/>
              <w:right w:type="dxa" w:w="100"/>
            </w:tcMar>
          </w:tcPr>
          <w:p>
            <w:r>
              <w:rPr>
                <w:rFonts w:ascii="Calibri" w:cs="Calibri" w:eastAsia="Calibri" w:hAnsi="Calibri"/>
                <w:sz w:val="19"/>
                <w:szCs w:val="19"/>
              </w:rPr>
              <w:t xml:space="preserve">Robust Zero Trust Architecture: Joint Blockchain-based Federated Learning and Anomaly Detection Framework</w:t>
            </w:r>
          </w:p>
        </w:tc>
        <w:tc>
          <w:tcPr>
            <w:tcW w:type="dxa" w:w="2200"/>
            <w:tcMar>
              <w:top w:type="dxa" w:w="80"/>
              <w:left w:type="dxa" w:w="100"/>
              <w:bottom w:type="dxa" w:w="80"/>
              <w:right w:type="dxa" w:w="100"/>
            </w:tcMar>
          </w:tcPr>
          <w:p>
            <w:r>
              <w:rPr>
                <w:rFonts w:ascii="Calibri" w:cs="Calibri" w:eastAsia="Calibri" w:hAnsi="Calibri"/>
                <w:sz w:val="19"/>
                <w:szCs w:val="19"/>
              </w:rPr>
              <w:t xml:space="preserve">ACM SIGCOMM Workshop ZTA-NextGen '24</w:t>
            </w:r>
          </w:p>
        </w:tc>
        <w:tc>
          <w:tcPr>
            <w:tcW w:type="dxa" w:w="2000"/>
            <w:tcMar>
              <w:top w:type="dxa" w:w="80"/>
              <w:left w:type="dxa" w:w="100"/>
              <w:bottom w:type="dxa" w:w="80"/>
              <w:right w:type="dxa" w:w="100"/>
            </w:tcMar>
          </w:tcPr>
          <w:p>
            <w:r>
              <w:rPr>
                <w:rFonts w:ascii="Calibri" w:cs="Calibri" w:eastAsia="Calibri" w:hAnsi="Calibri"/>
                <w:sz w:val="19"/>
                <w:szCs w:val="19"/>
              </w:rPr>
              <w:t xml:space="preserve">Deteksi anomali adaptif (unsupervised clustering) pada trust computation ZTA terdesentralisasi</w:t>
            </w:r>
          </w:p>
        </w:tc>
        <w:tc>
          <w:tcPr>
            <w:tcW w:type="dxa" w:w="1600"/>
            <w:tcMar>
              <w:top w:type="dxa" w:w="80"/>
              <w:left w:type="dxa" w:w="100"/>
              <w:bottom w:type="dxa" w:w="80"/>
              <w:right w:type="dxa" w:w="100"/>
            </w:tcMar>
          </w:tcPr>
          <w:p>
            <w:r>
              <w:rPr>
                <w:rFonts w:ascii="Calibri" w:cs="Calibri" w:eastAsia="Calibri" w:hAnsi="Calibri"/>
                <w:sz w:val="19"/>
                <w:szCs w:val="19"/>
              </w:rPr>
              <w:t xml:space="preserve">Federated learning + clustering</w:t>
            </w:r>
          </w:p>
        </w:tc>
        <w:tc>
          <w:tcPr>
            <w:tcW w:type="dxa" w:w="1000"/>
            <w:tcMar>
              <w:top w:type="dxa" w:w="80"/>
              <w:left w:type="dxa" w:w="100"/>
              <w:bottom w:type="dxa" w:w="80"/>
              <w:right w:type="dxa" w:w="100"/>
            </w:tcMar>
          </w:tcPr>
          <w:p>
            <w:r>
              <w:rPr>
                <w:rFonts w:ascii="Calibri" w:cs="Calibri" w:eastAsia="Calibri" w:hAnsi="Calibri"/>
                <w:sz w:val="19"/>
                <w:szCs w:val="19"/>
              </w:rPr>
              <w:t xml:space="preserve">Tinggi — preseden langsung "ZTA + lapisan deteksi anomali", meski konteks IoT terdesentralisasi/blockchain, bukan RF sederhana</w:t>
            </w:r>
          </w:p>
        </w:tc>
      </w:tr>
      <w:tr>
        <w:tc>
          <w:tcPr>
            <w:tcW w:type="dxa" w:w="500"/>
            <w:tcMar>
              <w:top w:type="dxa" w:w="80"/>
              <w:left w:type="dxa" w:w="100"/>
              <w:bottom w:type="dxa" w:w="80"/>
              <w:right w:type="dxa" w:w="100"/>
            </w:tcMar>
          </w:tcPr>
          <w:p>
            <w:r>
              <w:rPr>
                <w:rFonts w:ascii="Calibri" w:cs="Calibri" w:eastAsia="Calibri" w:hAnsi="Calibri"/>
                <w:sz w:val="19"/>
                <w:szCs w:val="19"/>
              </w:rPr>
              <w:t xml:space="preserve">6</w:t>
            </w:r>
          </w:p>
        </w:tc>
        <w:tc>
          <w:tcPr>
            <w:tcW w:type="dxa" w:w="2600"/>
            <w:tcMar>
              <w:top w:type="dxa" w:w="80"/>
              <w:left w:type="dxa" w:w="100"/>
              <w:bottom w:type="dxa" w:w="80"/>
              <w:right w:type="dxa" w:w="100"/>
            </w:tcMar>
          </w:tcPr>
          <w:p>
            <w:r>
              <w:rPr>
                <w:rFonts w:ascii="Calibri" w:cs="Calibri" w:eastAsia="Calibri" w:hAnsi="Calibri"/>
                <w:sz w:val="19"/>
                <w:szCs w:val="19"/>
              </w:rPr>
              <w:t xml:space="preserve">Sandhu et al. (2024)</w:t>
            </w:r>
          </w:p>
        </w:tc>
        <w:tc>
          <w:tcPr>
            <w:tcW w:type="dxa" w:w="1600"/>
            <w:tcMar>
              <w:top w:type="dxa" w:w="80"/>
              <w:left w:type="dxa" w:w="100"/>
              <w:bottom w:type="dxa" w:w="80"/>
              <w:right w:type="dxa" w:w="100"/>
            </w:tcMar>
          </w:tcPr>
          <w:p>
            <w:r>
              <w:rPr>
                <w:rFonts w:ascii="Calibri" w:cs="Calibri" w:eastAsia="Calibri" w:hAnsi="Calibri"/>
                <w:sz w:val="19"/>
                <w:szCs w:val="19"/>
              </w:rPr>
              <w:t xml:space="preserve">AI-Powered Anomaly Detection in Zero Trust Environments: A Comprehensive Review of Methods and Evaluation</w:t>
            </w:r>
          </w:p>
        </w:tc>
        <w:tc>
          <w:tcPr>
            <w:tcW w:type="dxa" w:w="2200"/>
            <w:tcMar>
              <w:top w:type="dxa" w:w="80"/>
              <w:left w:type="dxa" w:w="100"/>
              <w:bottom w:type="dxa" w:w="80"/>
              <w:right w:type="dxa" w:w="100"/>
            </w:tcMar>
          </w:tcPr>
          <w:p>
            <w:r>
              <w:rPr>
                <w:rFonts w:ascii="Calibri" w:cs="Calibri" w:eastAsia="Calibri" w:hAnsi="Calibri"/>
                <w:sz w:val="19"/>
                <w:szCs w:val="19"/>
              </w:rPr>
              <w:t xml:space="preserve">Nanotechnology Perceptions 20(S16)</w:t>
            </w:r>
          </w:p>
        </w:tc>
        <w:tc>
          <w:tcPr>
            <w:tcW w:type="dxa" w:w="2000"/>
            <w:tcMar>
              <w:top w:type="dxa" w:w="80"/>
              <w:left w:type="dxa" w:w="100"/>
              <w:bottom w:type="dxa" w:w="80"/>
              <w:right w:type="dxa" w:w="100"/>
            </w:tcMar>
          </w:tcPr>
          <w:p>
            <w:r>
              <w:rPr>
                <w:rFonts w:ascii="Calibri" w:cs="Calibri" w:eastAsia="Calibri" w:hAnsi="Calibri"/>
                <w:sz w:val="19"/>
                <w:szCs w:val="19"/>
              </w:rPr>
              <w:t xml:space="preserve">ZTNA + supervised (SVM, Random Forest) &amp; unsupervised learning untuk klasifikasi trafik normal/anomali</w:t>
            </w:r>
          </w:p>
        </w:tc>
        <w:tc>
          <w:tcPr>
            <w:tcW w:type="dxa" w:w="1600"/>
            <w:tcMar>
              <w:top w:type="dxa" w:w="80"/>
              <w:left w:type="dxa" w:w="100"/>
              <w:bottom w:type="dxa" w:w="80"/>
              <w:right w:type="dxa" w:w="100"/>
            </w:tcMar>
          </w:tcPr>
          <w:p>
            <w:r>
              <w:rPr>
                <w:rFonts w:ascii="Calibri" w:cs="Calibri" w:eastAsia="Calibri" w:hAnsi="Calibri"/>
                <w:sz w:val="19"/>
                <w:szCs w:val="19"/>
              </w:rPr>
              <w:t xml:space="preserve">Tinjauan metode</w:t>
            </w:r>
          </w:p>
        </w:tc>
        <w:tc>
          <w:tcPr>
            <w:tcW w:type="dxa" w:w="1000"/>
            <w:tcMar>
              <w:top w:type="dxa" w:w="80"/>
              <w:left w:type="dxa" w:w="100"/>
              <w:bottom w:type="dxa" w:w="80"/>
              <w:right w:type="dxa" w:w="100"/>
            </w:tcMar>
          </w:tcPr>
          <w:p>
            <w:r>
              <w:rPr>
                <w:rFonts w:ascii="Calibri" w:cs="Calibri" w:eastAsia="Calibri" w:hAnsi="Calibri"/>
                <w:sz w:val="19"/>
                <w:szCs w:val="19"/>
              </w:rPr>
              <w:t xml:space="preserve">Tinggi — eksplisit menyebut Random Forest sebagai classifier ZTNA, sejalan dengan metode di proposal</w:t>
            </w:r>
          </w:p>
        </w:tc>
      </w:tr>
      <w:tr>
        <w:tc>
          <w:tcPr>
            <w:tcW w:type="dxa" w:w="500"/>
            <w:tcMar>
              <w:top w:type="dxa" w:w="80"/>
              <w:left w:type="dxa" w:w="100"/>
              <w:bottom w:type="dxa" w:w="80"/>
              <w:right w:type="dxa" w:w="100"/>
            </w:tcMar>
          </w:tcPr>
          <w:p>
            <w:r>
              <w:rPr>
                <w:rFonts w:ascii="Calibri" w:cs="Calibri" w:eastAsia="Calibri" w:hAnsi="Calibri"/>
                <w:sz w:val="19"/>
                <w:szCs w:val="19"/>
              </w:rPr>
              <w:t xml:space="preserve">7</w:t>
            </w:r>
          </w:p>
        </w:tc>
        <w:tc>
          <w:tcPr>
            <w:tcW w:type="dxa" w:w="2600"/>
            <w:tcMar>
              <w:top w:type="dxa" w:w="80"/>
              <w:left w:type="dxa" w:w="100"/>
              <w:bottom w:type="dxa" w:w="80"/>
              <w:right w:type="dxa" w:w="100"/>
            </w:tcMar>
          </w:tcPr>
          <w:p>
            <w:r>
              <w:rPr>
                <w:rFonts w:ascii="Calibri" w:cs="Calibri" w:eastAsia="Calibri" w:hAnsi="Calibri"/>
                <w:sz w:val="19"/>
                <w:szCs w:val="19"/>
              </w:rPr>
              <w:t xml:space="preserve">(ResearchGate, 2025)</w:t>
            </w:r>
          </w:p>
        </w:tc>
        <w:tc>
          <w:tcPr>
            <w:tcW w:type="dxa" w:w="1600"/>
            <w:tcMar>
              <w:top w:type="dxa" w:w="80"/>
              <w:left w:type="dxa" w:w="100"/>
              <w:bottom w:type="dxa" w:w="80"/>
              <w:right w:type="dxa" w:w="100"/>
            </w:tcMar>
          </w:tcPr>
          <w:p>
            <w:r>
              <w:rPr>
                <w:rFonts w:ascii="Calibri" w:cs="Calibri" w:eastAsia="Calibri" w:hAnsi="Calibri"/>
                <w:sz w:val="19"/>
                <w:szCs w:val="19"/>
              </w:rPr>
              <w:t xml:space="preserve">Zero Trust Architecture Meets AI: A Machine Learning Approach to Continuous Authentication and Network Security</w:t>
            </w:r>
          </w:p>
        </w:tc>
        <w:tc>
          <w:tcPr>
            <w:tcW w:type="dxa" w:w="2200"/>
            <w:tcMar>
              <w:top w:type="dxa" w:w="80"/>
              <w:left w:type="dxa" w:w="100"/>
              <w:bottom w:type="dxa" w:w="80"/>
              <w:right w:type="dxa" w:w="100"/>
            </w:tcMar>
          </w:tcPr>
          <w:p>
            <w:r>
              <w:rPr>
                <w:rFonts w:ascii="Calibri" w:cs="Calibri" w:eastAsia="Calibri" w:hAnsi="Calibri"/>
                <w:sz w:val="19"/>
                <w:szCs w:val="19"/>
              </w:rPr>
              <w:t xml:space="preserve">Prosiding/jurnal (abstrak tersedia)</w:t>
            </w:r>
          </w:p>
        </w:tc>
        <w:tc>
          <w:tcPr>
            <w:tcW w:type="dxa" w:w="2000"/>
            <w:tcMar>
              <w:top w:type="dxa" w:w="80"/>
              <w:left w:type="dxa" w:w="100"/>
              <w:bottom w:type="dxa" w:w="80"/>
              <w:right w:type="dxa" w:w="100"/>
            </w:tcMar>
          </w:tcPr>
          <w:p>
            <w:r>
              <w:rPr>
                <w:rFonts w:ascii="Calibri" w:cs="Calibri" w:eastAsia="Calibri" w:hAnsi="Calibri"/>
                <w:sz w:val="19"/>
                <w:szCs w:val="19"/>
              </w:rPr>
              <w:t xml:space="preserve">Framework hybrid ML+ZTA untuk verifikasi berkelanjutan &amp; mitigasi anomali real-time</w:t>
            </w:r>
          </w:p>
        </w:tc>
        <w:tc>
          <w:tcPr>
            <w:tcW w:type="dxa" w:w="1600"/>
            <w:tcMar>
              <w:top w:type="dxa" w:w="80"/>
              <w:left w:type="dxa" w:w="100"/>
              <w:bottom w:type="dxa" w:w="80"/>
              <w:right w:type="dxa" w:w="100"/>
            </w:tcMar>
          </w:tcPr>
          <w:p>
            <w:r>
              <w:rPr>
                <w:rFonts w:ascii="Calibri" w:cs="Calibri" w:eastAsia="Calibri" w:hAnsi="Calibri"/>
                <w:sz w:val="19"/>
                <w:szCs w:val="19"/>
              </w:rPr>
              <w:t xml:space="preserve">Framework konseptual + evaluasi dataset benchmark</w:t>
            </w:r>
          </w:p>
        </w:tc>
        <w:tc>
          <w:tcPr>
            <w:tcW w:type="dxa" w:w="1000"/>
            <w:tcMar>
              <w:top w:type="dxa" w:w="80"/>
              <w:left w:type="dxa" w:w="100"/>
              <w:bottom w:type="dxa" w:w="80"/>
              <w:right w:type="dxa" w:w="100"/>
            </w:tcMar>
          </w:tcPr>
          <w:p>
            <w:r>
              <w:rPr>
                <w:rFonts w:ascii="Calibri" w:cs="Calibri" w:eastAsia="Calibri" w:hAnsi="Calibri"/>
                <w:sz w:val="19"/>
                <w:szCs w:val="19"/>
              </w:rPr>
              <w:t xml:space="preserve">Tinggi — kerangka paling dekat dengan judul proposal ("ZTA adaptif berbasis ML")</w:t>
            </w:r>
          </w:p>
        </w:tc>
      </w:tr>
      <w:tr>
        <w:tc>
          <w:tcPr>
            <w:tcW w:type="dxa" w:w="500"/>
            <w:tcMar>
              <w:top w:type="dxa" w:w="80"/>
              <w:left w:type="dxa" w:w="100"/>
              <w:bottom w:type="dxa" w:w="80"/>
              <w:right w:type="dxa" w:w="100"/>
            </w:tcMar>
          </w:tcPr>
          <w:p>
            <w:r>
              <w:rPr>
                <w:rFonts w:ascii="Calibri" w:cs="Calibri" w:eastAsia="Calibri" w:hAnsi="Calibri"/>
                <w:sz w:val="19"/>
                <w:szCs w:val="19"/>
              </w:rPr>
              <w:t xml:space="preserve">8</w:t>
            </w:r>
          </w:p>
        </w:tc>
        <w:tc>
          <w:tcPr>
            <w:tcW w:type="dxa" w:w="2600"/>
            <w:tcMar>
              <w:top w:type="dxa" w:w="80"/>
              <w:left w:type="dxa" w:w="100"/>
              <w:bottom w:type="dxa" w:w="80"/>
              <w:right w:type="dxa" w:w="100"/>
            </w:tcMar>
          </w:tcPr>
          <w:p>
            <w:r>
              <w:rPr>
                <w:rFonts w:ascii="Calibri" w:cs="Calibri" w:eastAsia="Calibri" w:hAnsi="Calibri"/>
                <w:sz w:val="19"/>
                <w:szCs w:val="19"/>
              </w:rPr>
              <w:t xml:space="preserve">(IEEE, 2025)</w:t>
            </w:r>
          </w:p>
        </w:tc>
        <w:tc>
          <w:tcPr>
            <w:tcW w:type="dxa" w:w="1600"/>
            <w:tcMar>
              <w:top w:type="dxa" w:w="80"/>
              <w:left w:type="dxa" w:w="100"/>
              <w:bottom w:type="dxa" w:w="80"/>
              <w:right w:type="dxa" w:w="100"/>
            </w:tcMar>
          </w:tcPr>
          <w:p>
            <w:r>
              <w:rPr>
                <w:rFonts w:ascii="Calibri" w:cs="Calibri" w:eastAsia="Calibri" w:hAnsi="Calibri"/>
                <w:sz w:val="19"/>
                <w:szCs w:val="19"/>
              </w:rPr>
              <w:t xml:space="preserve">Contextual Intelligence for Anomaly Detection in Zero Trust Based Architectures (TRUDI)</w:t>
            </w:r>
          </w:p>
        </w:tc>
        <w:tc>
          <w:tcPr>
            <w:tcW w:type="dxa" w:w="2200"/>
            <w:tcMar>
              <w:top w:type="dxa" w:w="80"/>
              <w:left w:type="dxa" w:w="100"/>
              <w:bottom w:type="dxa" w:w="80"/>
              <w:right w:type="dxa" w:w="100"/>
            </w:tcMar>
          </w:tcPr>
          <w:p>
            <w:r>
              <w:rPr>
                <w:rFonts w:ascii="Calibri" w:cs="Calibri" w:eastAsia="Calibri" w:hAnsi="Calibri"/>
                <w:sz w:val="19"/>
                <w:szCs w:val="19"/>
              </w:rPr>
              <w:t xml:space="preserve">IEEE Conference Publication</w:t>
            </w:r>
          </w:p>
        </w:tc>
        <w:tc>
          <w:tcPr>
            <w:tcW w:type="dxa" w:w="2000"/>
            <w:tcMar>
              <w:top w:type="dxa" w:w="80"/>
              <w:left w:type="dxa" w:w="100"/>
              <w:bottom w:type="dxa" w:w="80"/>
              <w:right w:type="dxa" w:w="100"/>
            </w:tcMar>
          </w:tcPr>
          <w:p>
            <w:r>
              <w:rPr>
                <w:rFonts w:ascii="Calibri" w:cs="Calibri" w:eastAsia="Calibri" w:hAnsi="Calibri"/>
                <w:sz w:val="19"/>
                <w:szCs w:val="19"/>
              </w:rPr>
              <w:t xml:space="preserve">Trust reputation + deteksi anomali untuk mengurangi re-autentikasi yang boros sumber daya</w:t>
            </w:r>
          </w:p>
        </w:tc>
        <w:tc>
          <w:tcPr>
            <w:tcW w:type="dxa" w:w="1600"/>
            <w:tcMar>
              <w:top w:type="dxa" w:w="80"/>
              <w:left w:type="dxa" w:w="100"/>
              <w:bottom w:type="dxa" w:w="80"/>
              <w:right w:type="dxa" w:w="100"/>
            </w:tcMar>
          </w:tcPr>
          <w:p>
            <w:r>
              <w:rPr>
                <w:rFonts w:ascii="Calibri" w:cs="Calibri" w:eastAsia="Calibri" w:hAnsi="Calibri"/>
                <w:sz w:val="19"/>
                <w:szCs w:val="19"/>
              </w:rPr>
              <w:t xml:space="preserve">Trust-scoring + anomaly detection</w:t>
            </w:r>
          </w:p>
        </w:tc>
        <w:tc>
          <w:tcPr>
            <w:tcW w:type="dxa" w:w="1000"/>
            <w:tcMar>
              <w:top w:type="dxa" w:w="80"/>
              <w:left w:type="dxa" w:w="100"/>
              <w:bottom w:type="dxa" w:w="80"/>
              <w:right w:type="dxa" w:w="100"/>
            </w:tcMar>
          </w:tcPr>
          <w:p>
            <w:r>
              <w:rPr>
                <w:rFonts w:ascii="Calibri" w:cs="Calibri" w:eastAsia="Calibri" w:hAnsi="Calibri"/>
                <w:sz w:val="19"/>
                <w:szCs w:val="19"/>
              </w:rPr>
              <w:t xml:space="preserve">Sedang-tinggi — relevan untuk analisis trade-off overhead vs. keamanan (RQ4)</w:t>
            </w:r>
          </w:p>
        </w:tc>
      </w:tr>
    </w:tbl>
    <w:p>
      <w:pPr>
        <w:spacing w:after="200"/>
      </w:pPr>
    </w:p>
    <w:p>
      <w:pPr>
        <w:pStyle w:val="Heading2"/>
        <w:spacing w:after="120" w:before="240"/>
      </w:pPr>
      <w:r>
        <w:t xml:space="preserve">3.3 Deteksi Lateral Movement &amp; Penyalahgunaan Kredensial</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600"/>
        <w:gridCol w:w="2200"/>
        <w:gridCol w:w="2000"/>
        <w:gridCol w:w="1600"/>
      </w:tblGrid>
      <w:tr>
        <w:trPr>
          <w:tblHeader/>
        </w:trPr>
        <w:tc>
          <w:tcPr>
            <w:tcW w:type="dxa" w:w="5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No</w:t>
            </w:r>
          </w:p>
        </w:tc>
        <w:tc>
          <w:tcPr>
            <w:tcW w:type="dxa" w:w="2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Penulis &amp; Tahun</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Venue</w:t>
            </w:r>
          </w:p>
        </w:tc>
        <w:tc>
          <w:tcPr>
            <w:tcW w:type="dxa" w:w="22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Fokus Utama</w:t>
            </w:r>
          </w:p>
        </w:tc>
        <w:tc>
          <w:tcPr>
            <w:tcW w:type="dxa" w:w="20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Metode</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Relevansi</w:t>
            </w:r>
          </w:p>
        </w:tc>
      </w:tr>
      <w:tr>
        <w:tc>
          <w:tcPr>
            <w:tcW w:type="dxa" w:w="500"/>
            <w:tcMar>
              <w:top w:type="dxa" w:w="80"/>
              <w:left w:type="dxa" w:w="100"/>
              <w:bottom w:type="dxa" w:w="80"/>
              <w:right w:type="dxa" w:w="100"/>
            </w:tcMar>
          </w:tcPr>
          <w:p>
            <w:r>
              <w:rPr>
                <w:rFonts w:ascii="Calibri" w:cs="Calibri" w:eastAsia="Calibri" w:hAnsi="Calibri"/>
                <w:sz w:val="19"/>
                <w:szCs w:val="19"/>
              </w:rPr>
              <w:t xml:space="preserve">9</w:t>
            </w:r>
          </w:p>
        </w:tc>
        <w:tc>
          <w:tcPr>
            <w:tcW w:type="dxa" w:w="2600"/>
            <w:tcMar>
              <w:top w:type="dxa" w:w="80"/>
              <w:left w:type="dxa" w:w="100"/>
              <w:bottom w:type="dxa" w:w="80"/>
              <w:right w:type="dxa" w:w="100"/>
            </w:tcMar>
          </w:tcPr>
          <w:p>
            <w:r>
              <w:rPr>
                <w:rFonts w:ascii="Calibri" w:cs="Calibri" w:eastAsia="Calibri" w:hAnsi="Calibri"/>
                <w:sz w:val="19"/>
                <w:szCs w:val="19"/>
              </w:rPr>
              <w:t xml:space="preserve">Powell (2021)</w:t>
            </w:r>
          </w:p>
        </w:tc>
        <w:tc>
          <w:tcPr>
            <w:tcW w:type="dxa" w:w="1600"/>
            <w:tcMar>
              <w:top w:type="dxa" w:w="80"/>
              <w:left w:type="dxa" w:w="100"/>
              <w:bottom w:type="dxa" w:w="80"/>
              <w:right w:type="dxa" w:w="100"/>
            </w:tcMar>
          </w:tcPr>
          <w:p>
            <w:r>
              <w:rPr>
                <w:rFonts w:ascii="Calibri" w:cs="Calibri" w:eastAsia="Calibri" w:hAnsi="Calibri"/>
                <w:sz w:val="19"/>
                <w:szCs w:val="19"/>
              </w:rPr>
              <w:t xml:space="preserve">Role-based Lateral Movement Detection with Unsupervised Learning</w:t>
            </w:r>
          </w:p>
        </w:tc>
        <w:tc>
          <w:tcPr>
            <w:tcW w:type="dxa" w:w="2200"/>
            <w:tcMar>
              <w:top w:type="dxa" w:w="80"/>
              <w:left w:type="dxa" w:w="100"/>
              <w:bottom w:type="dxa" w:w="80"/>
              <w:right w:type="dxa" w:w="100"/>
            </w:tcMar>
          </w:tcPr>
          <w:p>
            <w:r>
              <w:rPr>
                <w:rFonts w:ascii="Calibri" w:cs="Calibri" w:eastAsia="Calibri" w:hAnsi="Calibri"/>
                <w:sz w:val="19"/>
                <w:szCs w:val="19"/>
              </w:rPr>
              <w:t xml:space="preserve">arXiv 2108.02713</w:t>
            </w:r>
          </w:p>
        </w:tc>
        <w:tc>
          <w:tcPr>
            <w:tcW w:type="dxa" w:w="2000"/>
            <w:tcMar>
              <w:top w:type="dxa" w:w="80"/>
              <w:left w:type="dxa" w:w="100"/>
              <w:bottom w:type="dxa" w:w="80"/>
              <w:right w:type="dxa" w:w="100"/>
            </w:tcMar>
          </w:tcPr>
          <w:p>
            <w:r>
              <w:rPr>
                <w:rFonts w:ascii="Calibri" w:cs="Calibri" w:eastAsia="Calibri" w:hAnsi="Calibri"/>
                <w:sz w:val="19"/>
                <w:szCs w:val="19"/>
              </w:rPr>
              <w:t xml:space="preserve">Deteksi lateral movement pada aktivitas yang tampak sah/terautentikasi (tanpa signature)</w:t>
            </w:r>
          </w:p>
        </w:tc>
        <w:tc>
          <w:tcPr>
            <w:tcW w:type="dxa" w:w="1600"/>
            <w:tcMar>
              <w:top w:type="dxa" w:w="80"/>
              <w:left w:type="dxa" w:w="100"/>
              <w:bottom w:type="dxa" w:w="80"/>
              <w:right w:type="dxa" w:w="100"/>
            </w:tcMar>
          </w:tcPr>
          <w:p>
            <w:r>
              <w:rPr>
                <w:rFonts w:ascii="Calibri" w:cs="Calibri" w:eastAsia="Calibri" w:hAnsi="Calibri"/>
                <w:sz w:val="19"/>
                <w:szCs w:val="19"/>
              </w:rPr>
              <w:t xml:space="preserve">Unsupervised learning, role-based baseline</w:t>
            </w:r>
          </w:p>
        </w:tc>
        <w:tc>
          <w:tcPr>
            <w:tcW w:type="dxa" w:w="1000"/>
            <w:tcMar>
              <w:top w:type="dxa" w:w="80"/>
              <w:left w:type="dxa" w:w="100"/>
              <w:bottom w:type="dxa" w:w="80"/>
              <w:right w:type="dxa" w:w="100"/>
            </w:tcMar>
          </w:tcPr>
          <w:p>
            <w:r>
              <w:rPr>
                <w:rFonts w:ascii="Calibri" w:cs="Calibri" w:eastAsia="Calibri" w:hAnsi="Calibri"/>
                <w:sz w:val="19"/>
                <w:szCs w:val="19"/>
              </w:rPr>
              <w:t xml:space="preserve">Tinggi — langsung menyasar skenario "kredensial sah disalahgunakan" seperti di RQ3</w:t>
            </w:r>
          </w:p>
        </w:tc>
      </w:tr>
      <w:tr>
        <w:tc>
          <w:tcPr>
            <w:tcW w:type="dxa" w:w="500"/>
            <w:tcMar>
              <w:top w:type="dxa" w:w="80"/>
              <w:left w:type="dxa" w:w="100"/>
              <w:bottom w:type="dxa" w:w="80"/>
              <w:right w:type="dxa" w:w="100"/>
            </w:tcMar>
          </w:tcPr>
          <w:p>
            <w:r>
              <w:rPr>
                <w:rFonts w:ascii="Calibri" w:cs="Calibri" w:eastAsia="Calibri" w:hAnsi="Calibri"/>
                <w:sz w:val="19"/>
                <w:szCs w:val="19"/>
              </w:rPr>
              <w:t xml:space="preserve">10</w:t>
            </w:r>
          </w:p>
        </w:tc>
        <w:tc>
          <w:tcPr>
            <w:tcW w:type="dxa" w:w="2600"/>
            <w:tcMar>
              <w:top w:type="dxa" w:w="80"/>
              <w:left w:type="dxa" w:w="100"/>
              <w:bottom w:type="dxa" w:w="80"/>
              <w:right w:type="dxa" w:w="100"/>
            </w:tcMar>
          </w:tcPr>
          <w:p>
            <w:r>
              <w:rPr>
                <w:rFonts w:ascii="Calibri" w:cs="Calibri" w:eastAsia="Calibri" w:hAnsi="Calibri"/>
                <w:sz w:val="19"/>
                <w:szCs w:val="19"/>
              </w:rPr>
              <w:t xml:space="preserve">Tsiknas et al. / tim (2023)</w:t>
            </w:r>
          </w:p>
        </w:tc>
        <w:tc>
          <w:tcPr>
            <w:tcW w:type="dxa" w:w="1600"/>
            <w:tcMar>
              <w:top w:type="dxa" w:w="80"/>
              <w:left w:type="dxa" w:w="100"/>
              <w:bottom w:type="dxa" w:w="80"/>
              <w:right w:type="dxa" w:w="100"/>
            </w:tcMar>
          </w:tcPr>
          <w:p>
            <w:r>
              <w:rPr>
                <w:rFonts w:ascii="Calibri" w:cs="Calibri" w:eastAsia="Calibri" w:hAnsi="Calibri"/>
                <w:sz w:val="19"/>
                <w:szCs w:val="19"/>
              </w:rPr>
              <w:t xml:space="preserve">On the Detection of Lateral Movement through Supervised Machine Learning and an Open-Source Tool for Sysmon-based Datasets</w:t>
            </w:r>
          </w:p>
        </w:tc>
        <w:tc>
          <w:tcPr>
            <w:tcW w:type="dxa" w:w="2200"/>
            <w:tcMar>
              <w:top w:type="dxa" w:w="80"/>
              <w:left w:type="dxa" w:w="100"/>
              <w:bottom w:type="dxa" w:w="80"/>
              <w:right w:type="dxa" w:w="100"/>
            </w:tcMar>
          </w:tcPr>
          <w:p>
            <w:r>
              <w:rPr>
                <w:rFonts w:ascii="Calibri" w:cs="Calibri" w:eastAsia="Calibri" w:hAnsi="Calibri"/>
                <w:sz w:val="19"/>
                <w:szCs w:val="19"/>
              </w:rPr>
              <w:t xml:space="preserve">International Journal of Information Security (Springer)</w:t>
            </w:r>
          </w:p>
        </w:tc>
        <w:tc>
          <w:tcPr>
            <w:tcW w:type="dxa" w:w="2000"/>
            <w:tcMar>
              <w:top w:type="dxa" w:w="80"/>
              <w:left w:type="dxa" w:w="100"/>
              <w:bottom w:type="dxa" w:w="80"/>
              <w:right w:type="dxa" w:w="100"/>
            </w:tcMar>
          </w:tcPr>
          <w:p>
            <w:r>
              <w:rPr>
                <w:rFonts w:ascii="Calibri" w:cs="Calibri" w:eastAsia="Calibri" w:hAnsi="Calibri"/>
                <w:sz w:val="19"/>
                <w:szCs w:val="19"/>
              </w:rPr>
              <w:t xml:space="preserve">Klasifikasi event Sysmon (autentikasi) normal vs. berbahaya</w:t>
            </w:r>
          </w:p>
        </w:tc>
        <w:tc>
          <w:tcPr>
            <w:tcW w:type="dxa" w:w="1600"/>
            <w:tcMar>
              <w:top w:type="dxa" w:w="80"/>
              <w:left w:type="dxa" w:w="100"/>
              <w:bottom w:type="dxa" w:w="80"/>
              <w:right w:type="dxa" w:w="100"/>
            </w:tcMar>
          </w:tcPr>
          <w:p>
            <w:r>
              <w:rPr>
                <w:rFonts w:ascii="Calibri" w:cs="Calibri" w:eastAsia="Calibri" w:hAnsi="Calibri"/>
                <w:sz w:val="19"/>
                <w:szCs w:val="19"/>
              </w:rPr>
              <w:t xml:space="preserve">Random Forest, LogitBoost, Logistic Regression + majority voting</w:t>
            </w:r>
          </w:p>
        </w:tc>
        <w:tc>
          <w:tcPr>
            <w:tcW w:type="dxa" w:w="1000"/>
            <w:tcMar>
              <w:top w:type="dxa" w:w="80"/>
              <w:left w:type="dxa" w:w="100"/>
              <w:bottom w:type="dxa" w:w="80"/>
              <w:right w:type="dxa" w:w="100"/>
            </w:tcMar>
          </w:tcPr>
          <w:p>
            <w:r>
              <w:rPr>
                <w:rFonts w:ascii="Calibri" w:cs="Calibri" w:eastAsia="Calibri" w:hAnsi="Calibri"/>
                <w:sz w:val="19"/>
                <w:szCs w:val="19"/>
              </w:rPr>
              <w:t xml:space="preserve">Tinggi — preseden metodologis RF untuk deteksi anomali akses terautentikasi</w:t>
            </w:r>
          </w:p>
        </w:tc>
      </w:tr>
      <w:tr>
        <w:tc>
          <w:tcPr>
            <w:tcW w:type="dxa" w:w="500"/>
            <w:tcMar>
              <w:top w:type="dxa" w:w="80"/>
              <w:left w:type="dxa" w:w="100"/>
              <w:bottom w:type="dxa" w:w="80"/>
              <w:right w:type="dxa" w:w="100"/>
            </w:tcMar>
          </w:tcPr>
          <w:p>
            <w:r>
              <w:rPr>
                <w:rFonts w:ascii="Calibri" w:cs="Calibri" w:eastAsia="Calibri" w:hAnsi="Calibri"/>
                <w:sz w:val="19"/>
                <w:szCs w:val="19"/>
              </w:rPr>
              <w:t xml:space="preserve">11</w:t>
            </w:r>
          </w:p>
        </w:tc>
        <w:tc>
          <w:tcPr>
            <w:tcW w:type="dxa" w:w="2600"/>
            <w:tcMar>
              <w:top w:type="dxa" w:w="80"/>
              <w:left w:type="dxa" w:w="100"/>
              <w:bottom w:type="dxa" w:w="80"/>
              <w:right w:type="dxa" w:w="100"/>
            </w:tcMar>
          </w:tcPr>
          <w:p>
            <w:r>
              <w:rPr>
                <w:rFonts w:ascii="Calibri" w:cs="Calibri" w:eastAsia="Calibri" w:hAnsi="Calibri"/>
                <w:sz w:val="19"/>
                <w:szCs w:val="19"/>
              </w:rPr>
              <w:t xml:space="preserve">(ScienceDirect/Tech Science Press, 2025)</w:t>
            </w:r>
          </w:p>
        </w:tc>
        <w:tc>
          <w:tcPr>
            <w:tcW w:type="dxa" w:w="1600"/>
            <w:tcMar>
              <w:top w:type="dxa" w:w="80"/>
              <w:left w:type="dxa" w:w="100"/>
              <w:bottom w:type="dxa" w:w="80"/>
              <w:right w:type="dxa" w:w="100"/>
            </w:tcMar>
          </w:tcPr>
          <w:p>
            <w:r>
              <w:rPr>
                <w:rFonts w:ascii="Calibri" w:cs="Calibri" w:eastAsia="Calibri" w:hAnsi="Calibri"/>
                <w:sz w:val="19"/>
                <w:szCs w:val="19"/>
              </w:rPr>
              <w:t xml:space="preserve">Enhanced Detection of APT Vector Lateral Movement in Organizational Networks Using Lightweight Machine Learning</w:t>
            </w:r>
          </w:p>
        </w:tc>
        <w:tc>
          <w:tcPr>
            <w:tcW w:type="dxa" w:w="2200"/>
            <w:tcMar>
              <w:top w:type="dxa" w:w="80"/>
              <w:left w:type="dxa" w:w="100"/>
              <w:bottom w:type="dxa" w:w="80"/>
              <w:right w:type="dxa" w:w="100"/>
            </w:tcMar>
          </w:tcPr>
          <w:p>
            <w:r>
              <w:rPr>
                <w:rFonts w:ascii="Calibri" w:cs="Calibri" w:eastAsia="Calibri" w:hAnsi="Calibri"/>
                <w:sz w:val="19"/>
                <w:szCs w:val="19"/>
              </w:rPr>
              <w:t xml:space="preserve">Computers, Materials &amp; Continua (CMC)</w:t>
            </w:r>
          </w:p>
        </w:tc>
        <w:tc>
          <w:tcPr>
            <w:tcW w:type="dxa" w:w="2000"/>
            <w:tcMar>
              <w:top w:type="dxa" w:w="80"/>
              <w:left w:type="dxa" w:w="100"/>
              <w:bottom w:type="dxa" w:w="80"/>
              <w:right w:type="dxa" w:w="100"/>
            </w:tcMar>
          </w:tcPr>
          <w:p>
            <w:r>
              <w:rPr>
                <w:rFonts w:ascii="Calibri" w:cs="Calibri" w:eastAsia="Calibri" w:hAnsi="Calibri"/>
                <w:sz w:val="19"/>
                <w:szCs w:val="19"/>
              </w:rPr>
              <w:t xml:space="preserve">Deteksi lateral movement APT berbasis fitur ringan (port, paket, byte)</w:t>
            </w:r>
          </w:p>
        </w:tc>
        <w:tc>
          <w:tcPr>
            <w:tcW w:type="dxa" w:w="1600"/>
            <w:tcMar>
              <w:top w:type="dxa" w:w="80"/>
              <w:left w:type="dxa" w:w="100"/>
              <w:bottom w:type="dxa" w:w="80"/>
              <w:right w:type="dxa" w:w="100"/>
            </w:tcMar>
          </w:tcPr>
          <w:p>
            <w:r>
              <w:rPr>
                <w:rFonts w:ascii="Calibri" w:cs="Calibri" w:eastAsia="Calibri" w:hAnsi="Calibri"/>
                <w:sz w:val="19"/>
                <w:szCs w:val="19"/>
              </w:rPr>
              <w:t xml:space="preserve">KNN, SVM, Decision Tree, Random Forest</w:t>
            </w:r>
          </w:p>
        </w:tc>
        <w:tc>
          <w:tcPr>
            <w:tcW w:type="dxa" w:w="1000"/>
            <w:tcMar>
              <w:top w:type="dxa" w:w="80"/>
              <w:left w:type="dxa" w:w="100"/>
              <w:bottom w:type="dxa" w:w="80"/>
              <w:right w:type="dxa" w:w="100"/>
            </w:tcMar>
          </w:tcPr>
          <w:p>
            <w:r>
              <w:rPr>
                <w:rFonts w:ascii="Calibri" w:cs="Calibri" w:eastAsia="Calibri" w:hAnsi="Calibri"/>
                <w:sz w:val="19"/>
                <w:szCs w:val="19"/>
              </w:rPr>
              <w:t xml:space="preserve">Tinggi — RF mencapai deteksi ~99,95–100%, benchmark kuat untuk Skenario C</w:t>
            </w:r>
          </w:p>
        </w:tc>
      </w:tr>
      <w:tr>
        <w:tc>
          <w:tcPr>
            <w:tcW w:type="dxa" w:w="500"/>
            <w:tcMar>
              <w:top w:type="dxa" w:w="80"/>
              <w:left w:type="dxa" w:w="100"/>
              <w:bottom w:type="dxa" w:w="80"/>
              <w:right w:type="dxa" w:w="100"/>
            </w:tcMar>
          </w:tcPr>
          <w:p>
            <w:r>
              <w:rPr>
                <w:rFonts w:ascii="Calibri" w:cs="Calibri" w:eastAsia="Calibri" w:hAnsi="Calibri"/>
                <w:sz w:val="19"/>
                <w:szCs w:val="19"/>
              </w:rPr>
              <w:t xml:space="preserve">12</w:t>
            </w:r>
          </w:p>
        </w:tc>
        <w:tc>
          <w:tcPr>
            <w:tcW w:type="dxa" w:w="2600"/>
            <w:tcMar>
              <w:top w:type="dxa" w:w="80"/>
              <w:left w:type="dxa" w:w="100"/>
              <w:bottom w:type="dxa" w:w="80"/>
              <w:right w:type="dxa" w:w="100"/>
            </w:tcMar>
          </w:tcPr>
          <w:p>
            <w:r>
              <w:rPr>
                <w:rFonts w:ascii="Calibri" w:cs="Calibri" w:eastAsia="Calibri" w:hAnsi="Calibri"/>
                <w:sz w:val="19"/>
                <w:szCs w:val="19"/>
              </w:rPr>
              <w:t xml:space="preserve">(ResearchGate, 2019/2021)</w:t>
            </w:r>
          </w:p>
        </w:tc>
        <w:tc>
          <w:tcPr>
            <w:tcW w:type="dxa" w:w="1600"/>
            <w:tcMar>
              <w:top w:type="dxa" w:w="80"/>
              <w:left w:type="dxa" w:w="100"/>
              <w:bottom w:type="dxa" w:w="80"/>
              <w:right w:type="dxa" w:w="100"/>
            </w:tcMar>
          </w:tcPr>
          <w:p>
            <w:r>
              <w:rPr>
                <w:rFonts w:ascii="Calibri" w:cs="Calibri" w:eastAsia="Calibri" w:hAnsi="Calibri"/>
                <w:sz w:val="19"/>
                <w:szCs w:val="19"/>
              </w:rPr>
              <w:t xml:space="preserve">RDP-based Lateral Movement Detection using Machine Learning</w:t>
            </w:r>
          </w:p>
        </w:tc>
        <w:tc>
          <w:tcPr>
            <w:tcW w:type="dxa" w:w="2200"/>
            <w:tcMar>
              <w:top w:type="dxa" w:w="80"/>
              <w:left w:type="dxa" w:w="100"/>
              <w:bottom w:type="dxa" w:w="80"/>
              <w:right w:type="dxa" w:w="100"/>
            </w:tcMar>
          </w:tcPr>
          <w:p>
            <w:r>
              <w:rPr>
                <w:rFonts w:ascii="Calibri" w:cs="Calibri" w:eastAsia="Calibri" w:hAnsi="Calibri"/>
                <w:sz w:val="19"/>
                <w:szCs w:val="19"/>
              </w:rPr>
              <w:t xml:space="preserve">Prosiding (ResearchGate)</w:t>
            </w:r>
          </w:p>
        </w:tc>
        <w:tc>
          <w:tcPr>
            <w:tcW w:type="dxa" w:w="2000"/>
            <w:tcMar>
              <w:top w:type="dxa" w:w="80"/>
              <w:left w:type="dxa" w:w="100"/>
              <w:bottom w:type="dxa" w:w="80"/>
              <w:right w:type="dxa" w:w="100"/>
            </w:tcMar>
          </w:tcPr>
          <w:p>
            <w:r>
              <w:rPr>
                <w:rFonts w:ascii="Calibri" w:cs="Calibri" w:eastAsia="Calibri" w:hAnsi="Calibri"/>
                <w:sz w:val="19"/>
                <w:szCs w:val="19"/>
              </w:rPr>
              <w:t xml:space="preserve">Deteksi lateral movement lewat protokol RDP</w:t>
            </w:r>
          </w:p>
        </w:tc>
        <w:tc>
          <w:tcPr>
            <w:tcW w:type="dxa" w:w="1600"/>
            <w:tcMar>
              <w:top w:type="dxa" w:w="80"/>
              <w:left w:type="dxa" w:w="100"/>
              <w:bottom w:type="dxa" w:w="80"/>
              <w:right w:type="dxa" w:w="100"/>
            </w:tcMar>
          </w:tcPr>
          <w:p>
            <w:r>
              <w:rPr>
                <w:rFonts w:ascii="Calibri" w:cs="Calibri" w:eastAsia="Calibri" w:hAnsi="Calibri"/>
                <w:sz w:val="19"/>
                <w:szCs w:val="19"/>
              </w:rPr>
              <w:t xml:space="preserve">Ensemble ML (RF, LightGBM, dsb.)</w:t>
            </w:r>
          </w:p>
        </w:tc>
        <w:tc>
          <w:tcPr>
            <w:tcW w:type="dxa" w:w="1000"/>
            <w:tcMar>
              <w:top w:type="dxa" w:w="80"/>
              <w:left w:type="dxa" w:w="100"/>
              <w:bottom w:type="dxa" w:w="80"/>
              <w:right w:type="dxa" w:w="100"/>
            </w:tcMar>
          </w:tcPr>
          <w:p>
            <w:r>
              <w:rPr>
                <w:rFonts w:ascii="Calibri" w:cs="Calibri" w:eastAsia="Calibri" w:hAnsi="Calibri"/>
                <w:sz w:val="19"/>
                <w:szCs w:val="19"/>
              </w:rPr>
              <w:t xml:space="preserve">Sedang — pelengkap studi kasus protokol spesifik</w:t>
            </w:r>
          </w:p>
        </w:tc>
      </w:tr>
    </w:tbl>
    <w:p>
      <w:pPr>
        <w:spacing w:after="200"/>
      </w:pPr>
    </w:p>
    <w:p>
      <w:pPr>
        <w:pStyle w:val="Heading2"/>
        <w:spacing w:after="120" w:before="240"/>
      </w:pPr>
      <w:r>
        <w:t xml:space="preserve">3.4 Implementasi ZTA, Overhead Performa &amp; Konteks Indonesia</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600"/>
        <w:gridCol w:w="2200"/>
        <w:gridCol w:w="2000"/>
        <w:gridCol w:w="1600"/>
      </w:tblGrid>
      <w:tr>
        <w:trPr>
          <w:tblHeader/>
        </w:trPr>
        <w:tc>
          <w:tcPr>
            <w:tcW w:type="dxa" w:w="5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No</w:t>
            </w:r>
          </w:p>
        </w:tc>
        <w:tc>
          <w:tcPr>
            <w:tcW w:type="dxa" w:w="2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Penulis &amp; Tahun</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Venue</w:t>
            </w:r>
          </w:p>
        </w:tc>
        <w:tc>
          <w:tcPr>
            <w:tcW w:type="dxa" w:w="22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Fokus Utama</w:t>
            </w:r>
          </w:p>
        </w:tc>
        <w:tc>
          <w:tcPr>
            <w:tcW w:type="dxa" w:w="20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Metode</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Relevansi</w:t>
            </w:r>
          </w:p>
        </w:tc>
      </w:tr>
      <w:tr>
        <w:tc>
          <w:tcPr>
            <w:tcW w:type="dxa" w:w="500"/>
            <w:tcMar>
              <w:top w:type="dxa" w:w="80"/>
              <w:left w:type="dxa" w:w="100"/>
              <w:bottom w:type="dxa" w:w="80"/>
              <w:right w:type="dxa" w:w="100"/>
            </w:tcMar>
          </w:tcPr>
          <w:p>
            <w:r>
              <w:rPr>
                <w:rFonts w:ascii="Calibri" w:cs="Calibri" w:eastAsia="Calibri" w:hAnsi="Calibri"/>
                <w:sz w:val="19"/>
                <w:szCs w:val="19"/>
              </w:rPr>
              <w:t xml:space="preserve">13</w:t>
            </w:r>
          </w:p>
        </w:tc>
        <w:tc>
          <w:tcPr>
            <w:tcW w:type="dxa" w:w="2600"/>
            <w:tcMar>
              <w:top w:type="dxa" w:w="80"/>
              <w:left w:type="dxa" w:w="100"/>
              <w:bottom w:type="dxa" w:w="80"/>
              <w:right w:type="dxa" w:w="100"/>
            </w:tcMar>
          </w:tcPr>
          <w:p>
            <w:r>
              <w:rPr>
                <w:rFonts w:ascii="Calibri" w:cs="Calibri" w:eastAsia="Calibri" w:hAnsi="Calibri"/>
                <w:sz w:val="19"/>
                <w:szCs w:val="19"/>
              </w:rPr>
              <w:t xml:space="preserve">Surantha &amp; Ivan (2020)</w:t>
            </w:r>
          </w:p>
        </w:tc>
        <w:tc>
          <w:tcPr>
            <w:tcW w:type="dxa" w:w="1600"/>
            <w:tcMar>
              <w:top w:type="dxa" w:w="80"/>
              <w:left w:type="dxa" w:w="100"/>
              <w:bottom w:type="dxa" w:w="80"/>
              <w:right w:type="dxa" w:w="100"/>
            </w:tcMar>
          </w:tcPr>
          <w:p>
            <w:r>
              <w:rPr>
                <w:rFonts w:ascii="Calibri" w:cs="Calibri" w:eastAsia="Calibri" w:hAnsi="Calibri"/>
                <w:sz w:val="19"/>
                <w:szCs w:val="19"/>
              </w:rPr>
              <w:t xml:space="preserve">Secure Kubernetes Networking Design Based on Zero Trust Model: A Case Study of Financial Service Enterprise in Indonesia</w:t>
            </w:r>
          </w:p>
        </w:tc>
        <w:tc>
          <w:tcPr>
            <w:tcW w:type="dxa" w:w="2200"/>
            <w:tcMar>
              <w:top w:type="dxa" w:w="80"/>
              <w:left w:type="dxa" w:w="100"/>
              <w:bottom w:type="dxa" w:w="80"/>
              <w:right w:type="dxa" w:w="100"/>
            </w:tcMar>
          </w:tcPr>
          <w:p>
            <w:r>
              <w:rPr>
                <w:rFonts w:ascii="Calibri" w:cs="Calibri" w:eastAsia="Calibri" w:hAnsi="Calibri"/>
                <w:sz w:val="19"/>
                <w:szCs w:val="19"/>
              </w:rPr>
              <w:t xml:space="preserve">IMIS 2019 / Springer AISC vol. 994</w:t>
            </w:r>
          </w:p>
        </w:tc>
        <w:tc>
          <w:tcPr>
            <w:tcW w:type="dxa" w:w="2000"/>
            <w:tcMar>
              <w:top w:type="dxa" w:w="80"/>
              <w:left w:type="dxa" w:w="100"/>
              <w:bottom w:type="dxa" w:w="80"/>
              <w:right w:type="dxa" w:w="100"/>
            </w:tcMar>
          </w:tcPr>
          <w:p>
            <w:r>
              <w:rPr>
                <w:rFonts w:ascii="Calibri" w:cs="Calibri" w:eastAsia="Calibri" w:hAnsi="Calibri"/>
                <w:sz w:val="19"/>
                <w:szCs w:val="19"/>
              </w:rPr>
              <w:t xml:space="preserve">Desain jaringan Kubernetes aman berbasis ZT untuk perusahaan jasa keuangan Indonesia</w:t>
            </w:r>
          </w:p>
        </w:tc>
        <w:tc>
          <w:tcPr>
            <w:tcW w:type="dxa" w:w="1600"/>
            <w:tcMar>
              <w:top w:type="dxa" w:w="80"/>
              <w:left w:type="dxa" w:w="100"/>
              <w:bottom w:type="dxa" w:w="80"/>
              <w:right w:type="dxa" w:w="100"/>
            </w:tcMar>
          </w:tcPr>
          <w:p>
            <w:r>
              <w:rPr>
                <w:rFonts w:ascii="Calibri" w:cs="Calibri" w:eastAsia="Calibri" w:hAnsi="Calibri"/>
                <w:sz w:val="19"/>
                <w:szCs w:val="19"/>
              </w:rPr>
              <w:t xml:space="preserve">Studi kasus, desain infrastruktur</w:t>
            </w:r>
          </w:p>
        </w:tc>
        <w:tc>
          <w:tcPr>
            <w:tcW w:type="dxa" w:w="1000"/>
            <w:tcMar>
              <w:top w:type="dxa" w:w="80"/>
              <w:left w:type="dxa" w:w="100"/>
              <w:bottom w:type="dxa" w:w="80"/>
              <w:right w:type="dxa" w:w="100"/>
            </w:tcMar>
          </w:tcPr>
          <w:p>
            <w:r>
              <w:rPr>
                <w:rFonts w:ascii="Calibri" w:cs="Calibri" w:eastAsia="Calibri" w:hAnsi="Calibri"/>
                <w:sz w:val="19"/>
                <w:szCs w:val="19"/>
              </w:rPr>
              <w:t xml:space="preserve">Tinggi — konteks Indonesia + sektor finansial, sangat relevan untuk latar belakang &amp; rekomendasi akhir proposal</w:t>
            </w:r>
          </w:p>
        </w:tc>
      </w:tr>
      <w:tr>
        <w:tc>
          <w:tcPr>
            <w:tcW w:type="dxa" w:w="500"/>
            <w:tcMar>
              <w:top w:type="dxa" w:w="80"/>
              <w:left w:type="dxa" w:w="100"/>
              <w:bottom w:type="dxa" w:w="80"/>
              <w:right w:type="dxa" w:w="100"/>
            </w:tcMar>
          </w:tcPr>
          <w:p>
            <w:r>
              <w:rPr>
                <w:rFonts w:ascii="Calibri" w:cs="Calibri" w:eastAsia="Calibri" w:hAnsi="Calibri"/>
                <w:sz w:val="19"/>
                <w:szCs w:val="19"/>
              </w:rPr>
              <w:t xml:space="preserve">14</w:t>
            </w:r>
          </w:p>
        </w:tc>
        <w:tc>
          <w:tcPr>
            <w:tcW w:type="dxa" w:w="2600"/>
            <w:tcMar>
              <w:top w:type="dxa" w:w="80"/>
              <w:left w:type="dxa" w:w="100"/>
              <w:bottom w:type="dxa" w:w="80"/>
              <w:right w:type="dxa" w:w="100"/>
            </w:tcMar>
          </w:tcPr>
          <w:p>
            <w:r>
              <w:rPr>
                <w:rFonts w:ascii="Calibri" w:cs="Calibri" w:eastAsia="Calibri" w:hAnsi="Calibri"/>
                <w:sz w:val="19"/>
                <w:szCs w:val="19"/>
              </w:rPr>
              <w:t xml:space="preserve">Surantha, Ivan &amp; Chandra (2023)</w:t>
            </w:r>
          </w:p>
        </w:tc>
        <w:tc>
          <w:tcPr>
            <w:tcW w:type="dxa" w:w="1600"/>
            <w:tcMar>
              <w:top w:type="dxa" w:w="80"/>
              <w:left w:type="dxa" w:w="100"/>
              <w:bottom w:type="dxa" w:w="80"/>
              <w:right w:type="dxa" w:w="100"/>
            </w:tcMar>
          </w:tcPr>
          <w:p>
            <w:r>
              <w:rPr>
                <w:rFonts w:ascii="Calibri" w:cs="Calibri" w:eastAsia="Calibri" w:hAnsi="Calibri"/>
                <w:sz w:val="19"/>
                <w:szCs w:val="19"/>
              </w:rPr>
              <w:t xml:space="preserve">A Case Analysis for Kubernetes Network Security of Financial Service Industry in Indonesia Using Zero Trust Model</w:t>
            </w:r>
          </w:p>
        </w:tc>
        <w:tc>
          <w:tcPr>
            <w:tcW w:type="dxa" w:w="2200"/>
            <w:tcMar>
              <w:top w:type="dxa" w:w="80"/>
              <w:left w:type="dxa" w:w="100"/>
              <w:bottom w:type="dxa" w:w="80"/>
              <w:right w:type="dxa" w:w="100"/>
            </w:tcMar>
          </w:tcPr>
          <w:p>
            <w:r>
              <w:rPr>
                <w:rFonts w:ascii="Calibri" w:cs="Calibri" w:eastAsia="Calibri" w:hAnsi="Calibri"/>
                <w:sz w:val="19"/>
                <w:szCs w:val="19"/>
              </w:rPr>
              <w:t xml:space="preserve">Bulletin of Electrical Eng. and Informatics 12(5)</w:t>
            </w:r>
          </w:p>
        </w:tc>
        <w:tc>
          <w:tcPr>
            <w:tcW w:type="dxa" w:w="2000"/>
            <w:tcMar>
              <w:top w:type="dxa" w:w="80"/>
              <w:left w:type="dxa" w:w="100"/>
              <w:bottom w:type="dxa" w:w="80"/>
              <w:right w:type="dxa" w:w="100"/>
            </w:tcMar>
          </w:tcPr>
          <w:p>
            <w:r>
              <w:rPr>
                <w:rFonts w:ascii="Calibri" w:cs="Calibri" w:eastAsia="Calibri" w:hAnsi="Calibri"/>
                <w:sz w:val="19"/>
                <w:szCs w:val="19"/>
              </w:rPr>
              <w:t xml:space="preserve">Versi lanjutan studi kasus ZT di sektor finansial Indonesia (evaluasi lebih lengkap)</w:t>
            </w:r>
          </w:p>
        </w:tc>
        <w:tc>
          <w:tcPr>
            <w:tcW w:type="dxa" w:w="1600"/>
            <w:tcMar>
              <w:top w:type="dxa" w:w="80"/>
              <w:left w:type="dxa" w:w="100"/>
              <w:bottom w:type="dxa" w:w="80"/>
              <w:right w:type="dxa" w:w="100"/>
            </w:tcMar>
          </w:tcPr>
          <w:p>
            <w:r>
              <w:rPr>
                <w:rFonts w:ascii="Calibri" w:cs="Calibri" w:eastAsia="Calibri" w:hAnsi="Calibri"/>
                <w:sz w:val="19"/>
                <w:szCs w:val="19"/>
              </w:rPr>
              <w:t xml:space="preserve">Studi kasus, evaluasi desain</w:t>
            </w:r>
          </w:p>
        </w:tc>
        <w:tc>
          <w:tcPr>
            <w:tcW w:type="dxa" w:w="1000"/>
            <w:tcMar>
              <w:top w:type="dxa" w:w="80"/>
              <w:left w:type="dxa" w:w="100"/>
              <w:bottom w:type="dxa" w:w="80"/>
              <w:right w:type="dxa" w:w="100"/>
            </w:tcMar>
          </w:tcPr>
          <w:p>
            <w:r>
              <w:rPr>
                <w:rFonts w:ascii="Calibri" w:cs="Calibri" w:eastAsia="Calibri" w:hAnsi="Calibri"/>
                <w:sz w:val="19"/>
                <w:szCs w:val="19"/>
              </w:rPr>
              <w:t xml:space="preserve">Tinggi — pembaruan/perluasan dari [13], rujukan utama untuk konteks perbankan/finansial Indonesia</w:t>
            </w:r>
          </w:p>
        </w:tc>
      </w:tr>
      <w:tr>
        <w:tc>
          <w:tcPr>
            <w:tcW w:type="dxa" w:w="500"/>
            <w:tcMar>
              <w:top w:type="dxa" w:w="80"/>
              <w:left w:type="dxa" w:w="100"/>
              <w:bottom w:type="dxa" w:w="80"/>
              <w:right w:type="dxa" w:w="100"/>
            </w:tcMar>
          </w:tcPr>
          <w:p>
            <w:r>
              <w:rPr>
                <w:rFonts w:ascii="Calibri" w:cs="Calibri" w:eastAsia="Calibri" w:hAnsi="Calibri"/>
                <w:sz w:val="19"/>
                <w:szCs w:val="19"/>
              </w:rPr>
              <w:t xml:space="preserve">15</w:t>
            </w:r>
          </w:p>
        </w:tc>
        <w:tc>
          <w:tcPr>
            <w:tcW w:type="dxa" w:w="2600"/>
            <w:tcMar>
              <w:top w:type="dxa" w:w="80"/>
              <w:left w:type="dxa" w:w="100"/>
              <w:bottom w:type="dxa" w:w="80"/>
              <w:right w:type="dxa" w:w="100"/>
            </w:tcMar>
          </w:tcPr>
          <w:p>
            <w:r>
              <w:rPr>
                <w:rFonts w:ascii="Calibri" w:cs="Calibri" w:eastAsia="Calibri" w:hAnsi="Calibri"/>
                <w:sz w:val="19"/>
                <w:szCs w:val="19"/>
              </w:rPr>
              <w:t xml:space="preserve">Universitas Indonesia (2020)</w:t>
            </w:r>
          </w:p>
        </w:tc>
        <w:tc>
          <w:tcPr>
            <w:tcW w:type="dxa" w:w="1600"/>
            <w:tcMar>
              <w:top w:type="dxa" w:w="80"/>
              <w:left w:type="dxa" w:w="100"/>
              <w:bottom w:type="dxa" w:w="80"/>
              <w:right w:type="dxa" w:w="100"/>
            </w:tcMar>
          </w:tcPr>
          <w:p>
            <w:r>
              <w:rPr>
                <w:rFonts w:ascii="Calibri" w:cs="Calibri" w:eastAsia="Calibri" w:hAnsi="Calibri"/>
                <w:sz w:val="19"/>
                <w:szCs w:val="19"/>
              </w:rPr>
              <w:t xml:space="preserve">Design of Implementation of a Zero Trust Approach to Network Micro-segmentation</w:t>
            </w:r>
          </w:p>
        </w:tc>
        <w:tc>
          <w:tcPr>
            <w:tcW w:type="dxa" w:w="2200"/>
            <w:tcMar>
              <w:top w:type="dxa" w:w="80"/>
              <w:left w:type="dxa" w:w="100"/>
              <w:bottom w:type="dxa" w:w="80"/>
              <w:right w:type="dxa" w:w="100"/>
            </w:tcMar>
          </w:tcPr>
          <w:p>
            <w:r>
              <w:rPr>
                <w:rFonts w:ascii="Calibri" w:cs="Calibri" w:eastAsia="Calibri" w:hAnsi="Calibri"/>
                <w:sz w:val="19"/>
                <w:szCs w:val="19"/>
              </w:rPr>
              <w:t xml:space="preserve">Repositori Scholar UI</w:t>
            </w:r>
          </w:p>
        </w:tc>
        <w:tc>
          <w:tcPr>
            <w:tcW w:type="dxa" w:w="2000"/>
            <w:tcMar>
              <w:top w:type="dxa" w:w="80"/>
              <w:left w:type="dxa" w:w="100"/>
              <w:bottom w:type="dxa" w:w="80"/>
              <w:right w:type="dxa" w:w="100"/>
            </w:tcMar>
          </w:tcPr>
          <w:p>
            <w:r>
              <w:rPr>
                <w:rFonts w:ascii="Calibri" w:cs="Calibri" w:eastAsia="Calibri" w:hAnsi="Calibri"/>
                <w:sz w:val="19"/>
                <w:szCs w:val="19"/>
              </w:rPr>
              <w:t xml:space="preserve">Implementasi mikro-segmentasi ZT untuk mengatasi dominasi east-west traffic pada data center</w:t>
            </w:r>
          </w:p>
        </w:tc>
        <w:tc>
          <w:tcPr>
            <w:tcW w:type="dxa" w:w="1600"/>
            <w:tcMar>
              <w:top w:type="dxa" w:w="80"/>
              <w:left w:type="dxa" w:w="100"/>
              <w:bottom w:type="dxa" w:w="80"/>
              <w:right w:type="dxa" w:w="100"/>
            </w:tcMar>
          </w:tcPr>
          <w:p>
            <w:r>
              <w:rPr>
                <w:rFonts w:ascii="Calibri" w:cs="Calibri" w:eastAsia="Calibri" w:hAnsi="Calibri"/>
                <w:sz w:val="19"/>
                <w:szCs w:val="19"/>
              </w:rPr>
              <w:t xml:space="preserve">Perancangan &amp; implementasi jaringan</w:t>
            </w:r>
          </w:p>
        </w:tc>
        <w:tc>
          <w:tcPr>
            <w:tcW w:type="dxa" w:w="1000"/>
            <w:tcMar>
              <w:top w:type="dxa" w:w="80"/>
              <w:left w:type="dxa" w:w="100"/>
              <w:bottom w:type="dxa" w:w="80"/>
              <w:right w:type="dxa" w:w="100"/>
            </w:tcMar>
          </w:tcPr>
          <w:p>
            <w:r>
              <w:rPr>
                <w:rFonts w:ascii="Calibri" w:cs="Calibri" w:eastAsia="Calibri" w:hAnsi="Calibri"/>
                <w:sz w:val="19"/>
                <w:szCs w:val="19"/>
              </w:rPr>
              <w:t xml:space="preserve">Sedang-tinggi — preseden lokal Indonesia untuk mikro-segmentasi (komponen Skenario B)</w:t>
            </w:r>
          </w:p>
        </w:tc>
      </w:tr>
      <w:tr>
        <w:tc>
          <w:tcPr>
            <w:tcW w:type="dxa" w:w="500"/>
            <w:tcMar>
              <w:top w:type="dxa" w:w="80"/>
              <w:left w:type="dxa" w:w="100"/>
              <w:bottom w:type="dxa" w:w="80"/>
              <w:right w:type="dxa" w:w="100"/>
            </w:tcMar>
          </w:tcPr>
          <w:p>
            <w:r>
              <w:rPr>
                <w:rFonts w:ascii="Calibri" w:cs="Calibri" w:eastAsia="Calibri" w:hAnsi="Calibri"/>
                <w:sz w:val="19"/>
                <w:szCs w:val="19"/>
              </w:rPr>
              <w:t xml:space="preserve">16</w:t>
            </w:r>
          </w:p>
        </w:tc>
        <w:tc>
          <w:tcPr>
            <w:tcW w:type="dxa" w:w="2600"/>
            <w:tcMar>
              <w:top w:type="dxa" w:w="80"/>
              <w:left w:type="dxa" w:w="100"/>
              <w:bottom w:type="dxa" w:w="80"/>
              <w:right w:type="dxa" w:w="100"/>
            </w:tcMar>
          </w:tcPr>
          <w:p>
            <w:r>
              <w:rPr>
                <w:rFonts w:ascii="Calibri" w:cs="Calibri" w:eastAsia="Calibri" w:hAnsi="Calibri"/>
                <w:sz w:val="19"/>
                <w:szCs w:val="19"/>
              </w:rPr>
              <w:t xml:space="preserve">(IJCTS, 2025)</w:t>
            </w:r>
          </w:p>
        </w:tc>
        <w:tc>
          <w:tcPr>
            <w:tcW w:type="dxa" w:w="1600"/>
            <w:tcMar>
              <w:top w:type="dxa" w:w="80"/>
              <w:left w:type="dxa" w:w="100"/>
              <w:bottom w:type="dxa" w:w="80"/>
              <w:right w:type="dxa" w:w="100"/>
            </w:tcMar>
          </w:tcPr>
          <w:p>
            <w:r>
              <w:rPr>
                <w:rFonts w:ascii="Calibri" w:cs="Calibri" w:eastAsia="Calibri" w:hAnsi="Calibri"/>
                <w:sz w:val="19"/>
                <w:szCs w:val="19"/>
              </w:rPr>
              <w:t xml:space="preserve">Implementation of Cloudflare's Zero Trust Network Access (ZTNA) — Studi Kasus PT FHI, Jakarta</w:t>
            </w:r>
          </w:p>
        </w:tc>
        <w:tc>
          <w:tcPr>
            <w:tcW w:type="dxa" w:w="2200"/>
            <w:tcMar>
              <w:top w:type="dxa" w:w="80"/>
              <w:left w:type="dxa" w:w="100"/>
              <w:bottom w:type="dxa" w:w="80"/>
              <w:right w:type="dxa" w:w="100"/>
            </w:tcMar>
          </w:tcPr>
          <w:p>
            <w:r>
              <w:rPr>
                <w:rFonts w:ascii="Calibri" w:cs="Calibri" w:eastAsia="Calibri" w:hAnsi="Calibri"/>
                <w:sz w:val="19"/>
                <w:szCs w:val="19"/>
              </w:rPr>
              <w:t xml:space="preserve">International Journal of Cyber and IT Service Management</w:t>
            </w:r>
          </w:p>
        </w:tc>
        <w:tc>
          <w:tcPr>
            <w:tcW w:type="dxa" w:w="2000"/>
            <w:tcMar>
              <w:top w:type="dxa" w:w="80"/>
              <w:left w:type="dxa" w:w="100"/>
              <w:bottom w:type="dxa" w:w="80"/>
              <w:right w:type="dxa" w:w="100"/>
            </w:tcMar>
          </w:tcPr>
          <w:p>
            <w:r>
              <w:rPr>
                <w:rFonts w:ascii="Calibri" w:cs="Calibri" w:eastAsia="Calibri" w:hAnsi="Calibri"/>
                <w:sz w:val="19"/>
                <w:szCs w:val="19"/>
              </w:rPr>
              <w:t xml:space="preserve">Implementasi ZTNA komersial menggantikan VPN legacy di perusahaan Jakarta</w:t>
            </w:r>
          </w:p>
        </w:tc>
        <w:tc>
          <w:tcPr>
            <w:tcW w:type="dxa" w:w="1600"/>
            <w:tcMar>
              <w:top w:type="dxa" w:w="80"/>
              <w:left w:type="dxa" w:w="100"/>
              <w:bottom w:type="dxa" w:w="80"/>
              <w:right w:type="dxa" w:w="100"/>
            </w:tcMar>
          </w:tcPr>
          <w:p>
            <w:r>
              <w:rPr>
                <w:rFonts w:ascii="Calibri" w:cs="Calibri" w:eastAsia="Calibri" w:hAnsi="Calibri"/>
                <w:sz w:val="19"/>
                <w:szCs w:val="19"/>
              </w:rPr>
              <w:t xml:space="preserve">Studi kasus implementasi + evaluasi performa</w:t>
            </w:r>
          </w:p>
        </w:tc>
        <w:tc>
          <w:tcPr>
            <w:tcW w:type="dxa" w:w="1000"/>
            <w:tcMar>
              <w:top w:type="dxa" w:w="80"/>
              <w:left w:type="dxa" w:w="100"/>
              <w:bottom w:type="dxa" w:w="80"/>
              <w:right w:type="dxa" w:w="100"/>
            </w:tcMar>
          </w:tcPr>
          <w:p>
            <w:r>
              <w:rPr>
                <w:rFonts w:ascii="Calibri" w:cs="Calibri" w:eastAsia="Calibri" w:hAnsi="Calibri"/>
                <w:sz w:val="19"/>
                <w:szCs w:val="19"/>
              </w:rPr>
              <w:t xml:space="preserve">Sedang — bukti penerapan ZTNA di industri Indonesia, konteks tambahan urgensi topik</w:t>
            </w:r>
          </w:p>
        </w:tc>
      </w:tr>
      <w:tr>
        <w:tc>
          <w:tcPr>
            <w:tcW w:type="dxa" w:w="500"/>
            <w:tcMar>
              <w:top w:type="dxa" w:w="80"/>
              <w:left w:type="dxa" w:w="100"/>
              <w:bottom w:type="dxa" w:w="80"/>
              <w:right w:type="dxa" w:w="100"/>
            </w:tcMar>
          </w:tcPr>
          <w:p>
            <w:r>
              <w:rPr>
                <w:rFonts w:ascii="Calibri" w:cs="Calibri" w:eastAsia="Calibri" w:hAnsi="Calibri"/>
                <w:sz w:val="19"/>
                <w:szCs w:val="19"/>
              </w:rPr>
              <w:t xml:space="preserve">17</w:t>
            </w:r>
          </w:p>
        </w:tc>
        <w:tc>
          <w:tcPr>
            <w:tcW w:type="dxa" w:w="2600"/>
            <w:tcMar>
              <w:top w:type="dxa" w:w="80"/>
              <w:left w:type="dxa" w:w="100"/>
              <w:bottom w:type="dxa" w:w="80"/>
              <w:right w:type="dxa" w:w="100"/>
            </w:tcMar>
          </w:tcPr>
          <w:p>
            <w:r>
              <w:rPr>
                <w:rFonts w:ascii="Calibri" w:cs="Calibri" w:eastAsia="Calibri" w:hAnsi="Calibri"/>
                <w:sz w:val="19"/>
                <w:szCs w:val="19"/>
              </w:rPr>
              <w:t xml:space="preserve">(arXiv, 2021)</w:t>
            </w:r>
          </w:p>
        </w:tc>
        <w:tc>
          <w:tcPr>
            <w:tcW w:type="dxa" w:w="1600"/>
            <w:tcMar>
              <w:top w:type="dxa" w:w="80"/>
              <w:left w:type="dxa" w:w="100"/>
              <w:bottom w:type="dxa" w:w="80"/>
              <w:right w:type="dxa" w:w="100"/>
            </w:tcMar>
          </w:tcPr>
          <w:p>
            <w:r>
              <w:rPr>
                <w:rFonts w:ascii="Calibri" w:cs="Calibri" w:eastAsia="Calibri" w:hAnsi="Calibri"/>
                <w:sz w:val="19"/>
                <w:szCs w:val="19"/>
              </w:rPr>
              <w:t xml:space="preserve">Performance Analysis of Zero-Trust Multi-cloud</w:t>
            </w:r>
          </w:p>
        </w:tc>
        <w:tc>
          <w:tcPr>
            <w:tcW w:type="dxa" w:w="2200"/>
            <w:tcMar>
              <w:top w:type="dxa" w:w="80"/>
              <w:left w:type="dxa" w:w="100"/>
              <w:bottom w:type="dxa" w:w="80"/>
              <w:right w:type="dxa" w:w="100"/>
            </w:tcMar>
          </w:tcPr>
          <w:p>
            <w:r>
              <w:rPr>
                <w:rFonts w:ascii="Calibri" w:cs="Calibri" w:eastAsia="Calibri" w:hAnsi="Calibri"/>
                <w:sz w:val="19"/>
                <w:szCs w:val="19"/>
              </w:rPr>
              <w:t xml:space="preserve">arXiv 2105.02334</w:t>
            </w:r>
          </w:p>
        </w:tc>
        <w:tc>
          <w:tcPr>
            <w:tcW w:type="dxa" w:w="2000"/>
            <w:tcMar>
              <w:top w:type="dxa" w:w="80"/>
              <w:left w:type="dxa" w:w="100"/>
              <w:bottom w:type="dxa" w:w="80"/>
              <w:right w:type="dxa" w:w="100"/>
            </w:tcMar>
          </w:tcPr>
          <w:p>
            <w:r>
              <w:rPr>
                <w:rFonts w:ascii="Calibri" w:cs="Calibri" w:eastAsia="Calibri" w:hAnsi="Calibri"/>
                <w:sz w:val="19"/>
                <w:szCs w:val="19"/>
              </w:rPr>
              <w:t xml:space="preserve">Overhead performa (RTT, jitter) mikro-segmentasi ZT di lingkungan multi-cloud; mengutip studi Surantha</w:t>
            </w:r>
          </w:p>
        </w:tc>
        <w:tc>
          <w:tcPr>
            <w:tcW w:type="dxa" w:w="1600"/>
            <w:tcMar>
              <w:top w:type="dxa" w:w="80"/>
              <w:left w:type="dxa" w:w="100"/>
              <w:bottom w:type="dxa" w:w="80"/>
              <w:right w:type="dxa" w:w="100"/>
            </w:tcMar>
          </w:tcPr>
          <w:p>
            <w:r>
              <w:rPr>
                <w:rFonts w:ascii="Calibri" w:cs="Calibri" w:eastAsia="Calibri" w:hAnsi="Calibri"/>
                <w:sz w:val="19"/>
                <w:szCs w:val="19"/>
              </w:rPr>
              <w:t xml:space="preserve">Pengujian performa empiris</w:t>
            </w:r>
          </w:p>
        </w:tc>
        <w:tc>
          <w:tcPr>
            <w:tcW w:type="dxa" w:w="1000"/>
            <w:tcMar>
              <w:top w:type="dxa" w:w="80"/>
              <w:left w:type="dxa" w:w="100"/>
              <w:bottom w:type="dxa" w:w="80"/>
              <w:right w:type="dxa" w:w="100"/>
            </w:tcMar>
          </w:tcPr>
          <w:p>
            <w:r>
              <w:rPr>
                <w:rFonts w:ascii="Calibri" w:cs="Calibri" w:eastAsia="Calibri" w:hAnsi="Calibri"/>
                <w:sz w:val="19"/>
                <w:szCs w:val="19"/>
              </w:rPr>
              <w:t xml:space="preserve">Tinggi — metodologi pengukuran overhead yang bisa direplikasi untuk RQ4</w:t>
            </w:r>
          </w:p>
        </w:tc>
      </w:tr>
      <w:tr>
        <w:tc>
          <w:tcPr>
            <w:tcW w:type="dxa" w:w="500"/>
            <w:tcMar>
              <w:top w:type="dxa" w:w="80"/>
              <w:left w:type="dxa" w:w="100"/>
              <w:bottom w:type="dxa" w:w="80"/>
              <w:right w:type="dxa" w:w="100"/>
            </w:tcMar>
          </w:tcPr>
          <w:p>
            <w:r>
              <w:rPr>
                <w:rFonts w:ascii="Calibri" w:cs="Calibri" w:eastAsia="Calibri" w:hAnsi="Calibri"/>
                <w:sz w:val="19"/>
                <w:szCs w:val="19"/>
              </w:rPr>
              <w:t xml:space="preserve">18</w:t>
            </w:r>
          </w:p>
        </w:tc>
        <w:tc>
          <w:tcPr>
            <w:tcW w:type="dxa" w:w="2600"/>
            <w:tcMar>
              <w:top w:type="dxa" w:w="80"/>
              <w:left w:type="dxa" w:w="100"/>
              <w:bottom w:type="dxa" w:w="80"/>
              <w:right w:type="dxa" w:w="100"/>
            </w:tcMar>
          </w:tcPr>
          <w:p>
            <w:r>
              <w:rPr>
                <w:rFonts w:ascii="Calibri" w:cs="Calibri" w:eastAsia="Calibri" w:hAnsi="Calibri"/>
                <w:sz w:val="19"/>
                <w:szCs w:val="19"/>
              </w:rPr>
              <w:t xml:space="preserve">(ScienceDirect, 2026)</w:t>
            </w:r>
          </w:p>
        </w:tc>
        <w:tc>
          <w:tcPr>
            <w:tcW w:type="dxa" w:w="1600"/>
            <w:tcMar>
              <w:top w:type="dxa" w:w="80"/>
              <w:left w:type="dxa" w:w="100"/>
              <w:bottom w:type="dxa" w:w="80"/>
              <w:right w:type="dxa" w:w="100"/>
            </w:tcMar>
          </w:tcPr>
          <w:p>
            <w:r>
              <w:rPr>
                <w:rFonts w:ascii="Calibri" w:cs="Calibri" w:eastAsia="Calibri" w:hAnsi="Calibri"/>
                <w:sz w:val="19"/>
                <w:szCs w:val="19"/>
              </w:rPr>
              <w:t xml:space="preserve">A Three-tier Microsegmentation Framework for Enterprise Networks under Zero Trust Architecture</w:t>
            </w:r>
          </w:p>
        </w:tc>
        <w:tc>
          <w:tcPr>
            <w:tcW w:type="dxa" w:w="2200"/>
            <w:tcMar>
              <w:top w:type="dxa" w:w="80"/>
              <w:left w:type="dxa" w:w="100"/>
              <w:bottom w:type="dxa" w:w="80"/>
              <w:right w:type="dxa" w:w="100"/>
            </w:tcMar>
          </w:tcPr>
          <w:p>
            <w:r>
              <w:rPr>
                <w:rFonts w:ascii="Calibri" w:cs="Calibri" w:eastAsia="Calibri" w:hAnsi="Calibri"/>
                <w:sz w:val="19"/>
                <w:szCs w:val="19"/>
              </w:rPr>
              <w:t xml:space="preserve">ScienceDirect (jurnal)</w:t>
            </w:r>
          </w:p>
        </w:tc>
        <w:tc>
          <w:tcPr>
            <w:tcW w:type="dxa" w:w="2000"/>
            <w:tcMar>
              <w:top w:type="dxa" w:w="80"/>
              <w:left w:type="dxa" w:w="100"/>
              <w:bottom w:type="dxa" w:w="80"/>
              <w:right w:type="dxa" w:w="100"/>
            </w:tcMar>
          </w:tcPr>
          <w:p>
            <w:r>
              <w:rPr>
                <w:rFonts w:ascii="Calibri" w:cs="Calibri" w:eastAsia="Calibri" w:hAnsi="Calibri"/>
                <w:sz w:val="19"/>
                <w:szCs w:val="19"/>
              </w:rPr>
              <w:t xml:space="preserve">Framework mikro-segmentasi 3-tingkat dengan adaptasi trust perilaku; benchmark latensi vs. produk komersial (ACI, NSX)</w:t>
            </w:r>
          </w:p>
        </w:tc>
        <w:tc>
          <w:tcPr>
            <w:tcW w:type="dxa" w:w="1600"/>
            <w:tcMar>
              <w:top w:type="dxa" w:w="80"/>
              <w:left w:type="dxa" w:w="100"/>
              <w:bottom w:type="dxa" w:w="80"/>
              <w:right w:type="dxa" w:w="100"/>
            </w:tcMar>
          </w:tcPr>
          <w:p>
            <w:r>
              <w:rPr>
                <w:rFonts w:ascii="Calibri" w:cs="Calibri" w:eastAsia="Calibri" w:hAnsi="Calibri"/>
                <w:sz w:val="19"/>
                <w:szCs w:val="19"/>
              </w:rPr>
              <w:t xml:space="preserve">Eksperimen di jaringan kampus &amp; rumah sakit riil</w:t>
            </w:r>
          </w:p>
        </w:tc>
        <w:tc>
          <w:tcPr>
            <w:tcW w:type="dxa" w:w="1000"/>
            <w:tcMar>
              <w:top w:type="dxa" w:w="80"/>
              <w:left w:type="dxa" w:w="100"/>
              <w:bottom w:type="dxa" w:w="80"/>
              <w:right w:type="dxa" w:w="100"/>
            </w:tcMar>
          </w:tcPr>
          <w:p>
            <w:r>
              <w:rPr>
                <w:rFonts w:ascii="Calibri" w:cs="Calibri" w:eastAsia="Calibri" w:hAnsi="Calibri"/>
                <w:sz w:val="19"/>
                <w:szCs w:val="19"/>
              </w:rPr>
              <w:t xml:space="preserve">Tinggi — pembanding kuantitatif latensi (≈100–150 ms) untuk overhead ZTA</w:t>
            </w:r>
          </w:p>
        </w:tc>
      </w:tr>
      <w:tr>
        <w:tc>
          <w:tcPr>
            <w:tcW w:type="dxa" w:w="500"/>
            <w:tcMar>
              <w:top w:type="dxa" w:w="80"/>
              <w:left w:type="dxa" w:w="100"/>
              <w:bottom w:type="dxa" w:w="80"/>
              <w:right w:type="dxa" w:w="100"/>
            </w:tcMar>
          </w:tcPr>
          <w:p>
            <w:r>
              <w:rPr>
                <w:rFonts w:ascii="Calibri" w:cs="Calibri" w:eastAsia="Calibri" w:hAnsi="Calibri"/>
                <w:sz w:val="19"/>
                <w:szCs w:val="19"/>
              </w:rPr>
              <w:t xml:space="preserve">19</w:t>
            </w:r>
          </w:p>
        </w:tc>
        <w:tc>
          <w:tcPr>
            <w:tcW w:type="dxa" w:w="2600"/>
            <w:tcMar>
              <w:top w:type="dxa" w:w="80"/>
              <w:left w:type="dxa" w:w="100"/>
              <w:bottom w:type="dxa" w:w="80"/>
              <w:right w:type="dxa" w:w="100"/>
            </w:tcMar>
          </w:tcPr>
          <w:p>
            <w:r>
              <w:rPr>
                <w:rFonts w:ascii="Calibri" w:cs="Calibri" w:eastAsia="Calibri" w:hAnsi="Calibri"/>
                <w:sz w:val="19"/>
                <w:szCs w:val="19"/>
              </w:rPr>
              <w:t xml:space="preserve">(arXiv, 2025)</w:t>
            </w:r>
          </w:p>
        </w:tc>
        <w:tc>
          <w:tcPr>
            <w:tcW w:type="dxa" w:w="1600"/>
            <w:tcMar>
              <w:top w:type="dxa" w:w="80"/>
              <w:left w:type="dxa" w:w="100"/>
              <w:bottom w:type="dxa" w:w="80"/>
              <w:right w:type="dxa" w:w="100"/>
            </w:tcMar>
          </w:tcPr>
          <w:p>
            <w:r>
              <w:rPr>
                <w:rFonts w:ascii="Calibri" w:cs="Calibri" w:eastAsia="Calibri" w:hAnsi="Calibri"/>
                <w:sz w:val="19"/>
                <w:szCs w:val="19"/>
              </w:rPr>
              <w:t xml:space="preserve">Zero Trust Security Model Implementation in Microservices Architectures Using Identity Federation</w:t>
            </w:r>
          </w:p>
        </w:tc>
        <w:tc>
          <w:tcPr>
            <w:tcW w:type="dxa" w:w="2200"/>
            <w:tcMar>
              <w:top w:type="dxa" w:w="80"/>
              <w:left w:type="dxa" w:w="100"/>
              <w:bottom w:type="dxa" w:w="80"/>
              <w:right w:type="dxa" w:w="100"/>
            </w:tcMar>
          </w:tcPr>
          <w:p>
            <w:r>
              <w:rPr>
                <w:rFonts w:ascii="Calibri" w:cs="Calibri" w:eastAsia="Calibri" w:hAnsi="Calibri"/>
                <w:sz w:val="19"/>
                <w:szCs w:val="19"/>
              </w:rPr>
              <w:t xml:space="preserve">arXiv 2511.04925</w:t>
            </w:r>
          </w:p>
        </w:tc>
        <w:tc>
          <w:tcPr>
            <w:tcW w:type="dxa" w:w="2000"/>
            <w:tcMar>
              <w:top w:type="dxa" w:w="80"/>
              <w:left w:type="dxa" w:w="100"/>
              <w:bottom w:type="dxa" w:w="80"/>
              <w:right w:type="dxa" w:w="100"/>
            </w:tcMar>
          </w:tcPr>
          <w:p>
            <w:r>
              <w:rPr>
                <w:rFonts w:ascii="Calibri" w:cs="Calibri" w:eastAsia="Calibri" w:hAnsi="Calibri"/>
                <w:sz w:val="19"/>
                <w:szCs w:val="19"/>
              </w:rPr>
              <w:t xml:space="preserve">Pengukuran latency/throughput sebelum-sesudah penerapan ZT pada microservices</w:t>
            </w:r>
          </w:p>
        </w:tc>
        <w:tc>
          <w:tcPr>
            <w:tcW w:type="dxa" w:w="1600"/>
            <w:tcMar>
              <w:top w:type="dxa" w:w="80"/>
              <w:left w:type="dxa" w:w="100"/>
              <w:bottom w:type="dxa" w:w="80"/>
              <w:right w:type="dxa" w:w="100"/>
            </w:tcMar>
          </w:tcPr>
          <w:p>
            <w:r>
              <w:rPr>
                <w:rFonts w:ascii="Calibri" w:cs="Calibri" w:eastAsia="Calibri" w:hAnsi="Calibri"/>
                <w:sz w:val="19"/>
                <w:szCs w:val="19"/>
              </w:rPr>
              <w:t xml:space="preserve">Eksperimen kuantitatif (tabel overhead %)</w:t>
            </w:r>
          </w:p>
        </w:tc>
        <w:tc>
          <w:tcPr>
            <w:tcW w:type="dxa" w:w="1000"/>
            <w:tcMar>
              <w:top w:type="dxa" w:w="80"/>
              <w:left w:type="dxa" w:w="100"/>
              <w:bottom w:type="dxa" w:w="80"/>
              <w:right w:type="dxa" w:w="100"/>
            </w:tcMar>
          </w:tcPr>
          <w:p>
            <w:r>
              <w:rPr>
                <w:rFonts w:ascii="Calibri" w:cs="Calibri" w:eastAsia="Calibri" w:hAnsi="Calibri"/>
                <w:sz w:val="19"/>
                <w:szCs w:val="19"/>
              </w:rPr>
              <w:t xml:space="preserve">Tinggi — contoh format pelaporan overhead (%) yang relevan untuk metrik pembanding tiga skenario</w:t>
            </w:r>
          </w:p>
        </w:tc>
      </w:tr>
    </w:tbl>
    <w:p>
      <w:pPr>
        <w:spacing w:after="200"/>
      </w:pPr>
    </w:p>
    <w:p>
      <w:pPr>
        <w:pStyle w:val="Heading2"/>
        <w:spacing w:after="120" w:before="240"/>
      </w:pPr>
      <w:r>
        <w:t xml:space="preserve">3.5 Testbed Docker/Container untuk Simulasi Serangan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600"/>
        <w:gridCol w:w="2200"/>
        <w:gridCol w:w="2000"/>
        <w:gridCol w:w="1600"/>
      </w:tblGrid>
      <w:tr>
        <w:trPr>
          <w:tblHeader/>
        </w:trPr>
        <w:tc>
          <w:tcPr>
            <w:tcW w:type="dxa" w:w="5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No</w:t>
            </w:r>
          </w:p>
        </w:tc>
        <w:tc>
          <w:tcPr>
            <w:tcW w:type="dxa" w:w="2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Penulis &amp; Tahun</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Venue</w:t>
            </w:r>
          </w:p>
        </w:tc>
        <w:tc>
          <w:tcPr>
            <w:tcW w:type="dxa" w:w="22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Fokus Utama</w:t>
            </w:r>
          </w:p>
        </w:tc>
        <w:tc>
          <w:tcPr>
            <w:tcW w:type="dxa" w:w="20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Metode</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Relevansi</w:t>
            </w:r>
          </w:p>
        </w:tc>
      </w:tr>
      <w:tr>
        <w:tc>
          <w:tcPr>
            <w:tcW w:type="dxa" w:w="500"/>
            <w:tcMar>
              <w:top w:type="dxa" w:w="80"/>
              <w:left w:type="dxa" w:w="100"/>
              <w:bottom w:type="dxa" w:w="80"/>
              <w:right w:type="dxa" w:w="100"/>
            </w:tcMar>
          </w:tcPr>
          <w:p>
            <w:r>
              <w:rPr>
                <w:rFonts w:ascii="Calibri" w:cs="Calibri" w:eastAsia="Calibri" w:hAnsi="Calibri"/>
                <w:sz w:val="19"/>
                <w:szCs w:val="19"/>
              </w:rPr>
              <w:t xml:space="preserve">20</w:t>
            </w:r>
          </w:p>
        </w:tc>
        <w:tc>
          <w:tcPr>
            <w:tcW w:type="dxa" w:w="2600"/>
            <w:tcMar>
              <w:top w:type="dxa" w:w="80"/>
              <w:left w:type="dxa" w:w="100"/>
              <w:bottom w:type="dxa" w:w="80"/>
              <w:right w:type="dxa" w:w="100"/>
            </w:tcMar>
          </w:tcPr>
          <w:p>
            <w:r>
              <w:rPr>
                <w:rFonts w:ascii="Calibri" w:cs="Calibri" w:eastAsia="Calibri" w:hAnsi="Calibri"/>
                <w:sz w:val="19"/>
                <w:szCs w:val="19"/>
              </w:rPr>
              <w:t xml:space="preserve">(Springer, 2025/2026)</w:t>
            </w:r>
          </w:p>
        </w:tc>
        <w:tc>
          <w:tcPr>
            <w:tcW w:type="dxa" w:w="1600"/>
            <w:tcMar>
              <w:top w:type="dxa" w:w="80"/>
              <w:left w:type="dxa" w:w="100"/>
              <w:bottom w:type="dxa" w:w="80"/>
              <w:right w:type="dxa" w:w="100"/>
            </w:tcMar>
          </w:tcPr>
          <w:p>
            <w:r>
              <w:rPr>
                <w:rFonts w:ascii="Calibri" w:cs="Calibri" w:eastAsia="Calibri" w:hAnsi="Calibri"/>
                <w:sz w:val="19"/>
                <w:szCs w:val="19"/>
              </w:rPr>
              <w:t xml:space="preserve">Docker Containers for Offensive and Defensive Cybersecurity Testing: A Scalable and Flexible Approach</w:t>
            </w:r>
          </w:p>
        </w:tc>
        <w:tc>
          <w:tcPr>
            <w:tcW w:type="dxa" w:w="2200"/>
            <w:tcMar>
              <w:top w:type="dxa" w:w="80"/>
              <w:left w:type="dxa" w:w="100"/>
              <w:bottom w:type="dxa" w:w="80"/>
              <w:right w:type="dxa" w:w="100"/>
            </w:tcMar>
          </w:tcPr>
          <w:p>
            <w:r>
              <w:rPr>
                <w:rFonts w:ascii="Calibri" w:cs="Calibri" w:eastAsia="Calibri" w:hAnsi="Calibri"/>
                <w:sz w:val="19"/>
                <w:szCs w:val="19"/>
              </w:rPr>
              <w:t xml:space="preserve">Buku/bab prosiding Springer</w:t>
            </w:r>
          </w:p>
        </w:tc>
        <w:tc>
          <w:tcPr>
            <w:tcW w:type="dxa" w:w="2000"/>
            <w:tcMar>
              <w:top w:type="dxa" w:w="80"/>
              <w:left w:type="dxa" w:w="100"/>
              <w:bottom w:type="dxa" w:w="80"/>
              <w:right w:type="dxa" w:w="100"/>
            </w:tcMar>
          </w:tcPr>
          <w:p>
            <w:r>
              <w:rPr>
                <w:rFonts w:ascii="Calibri" w:cs="Calibri" w:eastAsia="Calibri" w:hAnsi="Calibri"/>
                <w:sz w:val="19"/>
                <w:szCs w:val="19"/>
              </w:rPr>
              <w:t xml:space="preserve">Kerangka kerja testbed keamanan berbasis Docker untuk pengujian ofensif &amp; defensif</w:t>
            </w:r>
          </w:p>
        </w:tc>
        <w:tc>
          <w:tcPr>
            <w:tcW w:type="dxa" w:w="1600"/>
            <w:tcMar>
              <w:top w:type="dxa" w:w="80"/>
              <w:left w:type="dxa" w:w="100"/>
              <w:bottom w:type="dxa" w:w="80"/>
              <w:right w:type="dxa" w:w="100"/>
            </w:tcMar>
          </w:tcPr>
          <w:p>
            <w:r>
              <w:rPr>
                <w:rFonts w:ascii="Calibri" w:cs="Calibri" w:eastAsia="Calibri" w:hAnsi="Calibri"/>
                <w:sz w:val="19"/>
                <w:szCs w:val="19"/>
              </w:rPr>
              <w:t xml:space="preserve">Desain testbed containerized</w:t>
            </w:r>
          </w:p>
        </w:tc>
        <w:tc>
          <w:tcPr>
            <w:tcW w:type="dxa" w:w="1000"/>
            <w:tcMar>
              <w:top w:type="dxa" w:w="80"/>
              <w:left w:type="dxa" w:w="100"/>
              <w:bottom w:type="dxa" w:w="80"/>
              <w:right w:type="dxa" w:w="100"/>
            </w:tcMar>
          </w:tcPr>
          <w:p>
            <w:r>
              <w:rPr>
                <w:rFonts w:ascii="Calibri" w:cs="Calibri" w:eastAsia="Calibri" w:hAnsi="Calibri"/>
                <w:sz w:val="19"/>
                <w:szCs w:val="19"/>
              </w:rPr>
              <w:t xml:space="preserve">Tinggi — rujukan metodologis langsung untuk membangun 3 skenario jaringan simulasi via Docker</w:t>
            </w:r>
          </w:p>
        </w:tc>
      </w:tr>
      <w:tr>
        <w:tc>
          <w:tcPr>
            <w:tcW w:type="dxa" w:w="500"/>
            <w:tcMar>
              <w:top w:type="dxa" w:w="80"/>
              <w:left w:type="dxa" w:w="100"/>
              <w:bottom w:type="dxa" w:w="80"/>
              <w:right w:type="dxa" w:w="100"/>
            </w:tcMar>
          </w:tcPr>
          <w:p>
            <w:r>
              <w:rPr>
                <w:rFonts w:ascii="Calibri" w:cs="Calibri" w:eastAsia="Calibri" w:hAnsi="Calibri"/>
                <w:sz w:val="19"/>
                <w:szCs w:val="19"/>
              </w:rPr>
              <w:t xml:space="preserve">21</w:t>
            </w:r>
          </w:p>
        </w:tc>
        <w:tc>
          <w:tcPr>
            <w:tcW w:type="dxa" w:w="2600"/>
            <w:tcMar>
              <w:top w:type="dxa" w:w="80"/>
              <w:left w:type="dxa" w:w="100"/>
              <w:bottom w:type="dxa" w:w="80"/>
              <w:right w:type="dxa" w:w="100"/>
            </w:tcMar>
          </w:tcPr>
          <w:p>
            <w:r>
              <w:rPr>
                <w:rFonts w:ascii="Calibri" w:cs="Calibri" w:eastAsia="Calibri" w:hAnsi="Calibri"/>
                <w:sz w:val="19"/>
                <w:szCs w:val="19"/>
              </w:rPr>
              <w:t xml:space="preserve">Marchand-Niño et al. (2026)</w:t>
            </w:r>
          </w:p>
        </w:tc>
        <w:tc>
          <w:tcPr>
            <w:tcW w:type="dxa" w:w="1600"/>
            <w:tcMar>
              <w:top w:type="dxa" w:w="80"/>
              <w:left w:type="dxa" w:w="100"/>
              <w:bottom w:type="dxa" w:w="80"/>
              <w:right w:type="dxa" w:w="100"/>
            </w:tcMar>
          </w:tcPr>
          <w:p>
            <w:r>
              <w:rPr>
                <w:rFonts w:ascii="Calibri" w:cs="Calibri" w:eastAsia="Calibri" w:hAnsi="Calibri"/>
                <w:sz w:val="19"/>
                <w:szCs w:val="19"/>
              </w:rPr>
              <w:t xml:space="preserve">Docker Container-based Infrastructure Pentesting Laboratories for Cybersecurity Education</w:t>
            </w:r>
          </w:p>
        </w:tc>
        <w:tc>
          <w:tcPr>
            <w:tcW w:type="dxa" w:w="2200"/>
            <w:tcMar>
              <w:top w:type="dxa" w:w="80"/>
              <w:left w:type="dxa" w:w="100"/>
              <w:bottom w:type="dxa" w:w="80"/>
              <w:right w:type="dxa" w:w="100"/>
            </w:tcMar>
          </w:tcPr>
          <w:p>
            <w:r>
              <w:rPr>
                <w:rFonts w:ascii="Calibri" w:cs="Calibri" w:eastAsia="Calibri" w:hAnsi="Calibri"/>
                <w:sz w:val="19"/>
                <w:szCs w:val="19"/>
              </w:rPr>
              <w:t xml:space="preserve">Journal of Technology and Science Education</w:t>
            </w:r>
          </w:p>
        </w:tc>
        <w:tc>
          <w:tcPr>
            <w:tcW w:type="dxa" w:w="2000"/>
            <w:tcMar>
              <w:top w:type="dxa" w:w="80"/>
              <w:left w:type="dxa" w:w="100"/>
              <w:bottom w:type="dxa" w:w="80"/>
              <w:right w:type="dxa" w:w="100"/>
            </w:tcMar>
          </w:tcPr>
          <w:p>
            <w:r>
              <w:rPr>
                <w:rFonts w:ascii="Calibri" w:cs="Calibri" w:eastAsia="Calibri" w:hAnsi="Calibri"/>
                <w:sz w:val="19"/>
                <w:szCs w:val="19"/>
              </w:rPr>
              <w:t xml:space="preserve">Topologi lab Docker (Metasploitable, DVWA, Kali, Wireshark) dalam jaringan virtual terisolasi</w:t>
            </w:r>
          </w:p>
        </w:tc>
        <w:tc>
          <w:tcPr>
            <w:tcW w:type="dxa" w:w="1600"/>
            <w:tcMar>
              <w:top w:type="dxa" w:w="80"/>
              <w:left w:type="dxa" w:w="100"/>
              <w:bottom w:type="dxa" w:w="80"/>
              <w:right w:type="dxa" w:w="100"/>
            </w:tcMar>
          </w:tcPr>
          <w:p>
            <w:r>
              <w:rPr>
                <w:rFonts w:ascii="Calibri" w:cs="Calibri" w:eastAsia="Calibri" w:hAnsi="Calibri"/>
                <w:sz w:val="19"/>
                <w:szCs w:val="19"/>
              </w:rPr>
              <w:t xml:space="preserve">Studi implementasi laboratorium</w:t>
            </w:r>
          </w:p>
        </w:tc>
        <w:tc>
          <w:tcPr>
            <w:tcW w:type="dxa" w:w="1000"/>
            <w:tcMar>
              <w:top w:type="dxa" w:w="80"/>
              <w:left w:type="dxa" w:w="100"/>
              <w:bottom w:type="dxa" w:w="80"/>
              <w:right w:type="dxa" w:w="100"/>
            </w:tcMar>
          </w:tcPr>
          <w:p>
            <w:r>
              <w:rPr>
                <w:rFonts w:ascii="Calibri" w:cs="Calibri" w:eastAsia="Calibri" w:hAnsi="Calibri"/>
                <w:sz w:val="19"/>
                <w:szCs w:val="19"/>
              </w:rPr>
              <w:t xml:space="preserve">Sedang-tinggi — contoh konkret topologi &amp; tooling Docker yang bisa diadaptasi untuk skenario serangan</w:t>
            </w:r>
          </w:p>
        </w:tc>
      </w:tr>
    </w:tbl>
    <w:p>
      <w:pPr>
        <w:pStyle w:val="Heading1"/>
        <w:spacing w:after="150" w:before="300"/>
      </w:pPr>
      <w:r>
        <w:t xml:space="preserve">4. Tema Riset (Pengelompokan)</w:t>
      </w:r>
    </w:p>
    <w:p>
      <w:pPr>
        <w:pStyle w:val="ListParagraph"/>
        <w:numPr>
          <w:ilvl w:val="0"/>
          <w:numId w:val="1"/>
        </w:numPr>
        <w:spacing w:after="80"/>
      </w:pPr>
      <w:r>
        <w:rPr>
          <w:rFonts w:ascii="Calibri" w:cs="Calibri" w:eastAsia="Calibri" w:hAnsi="Calibri"/>
          <w:sz w:val="22"/>
          <w:szCs w:val="22"/>
        </w:rPr>
        <w:t xml:space="preserve">Tema 1 — Keamanan berbasis perimeter tradisional dan kelemahannya terhadap lateral movement (mendukung RQ1).</w:t>
      </w:r>
    </w:p>
    <w:p>
      <w:pPr>
        <w:pStyle w:val="ListParagraph"/>
        <w:numPr>
          <w:ilvl w:val="0"/>
          <w:numId w:val="1"/>
        </w:numPr>
        <w:spacing w:after="80"/>
      </w:pPr>
      <w:r>
        <w:rPr>
          <w:rFonts w:ascii="Calibri" w:cs="Calibri" w:eastAsia="Calibri" w:hAnsi="Calibri"/>
          <w:sz w:val="22"/>
          <w:szCs w:val="22"/>
        </w:rPr>
        <w:t xml:space="preserve">Tema 2 — ZTA statis (NIST SP 800-207, micro-segmentation, mTLS, continuous authentication) dan keterbatasannya terhadap kredensial sah yang disalahgunakan (mendukung RQ2).</w:t>
      </w:r>
    </w:p>
    <w:p>
      <w:pPr>
        <w:pStyle w:val="ListParagraph"/>
        <w:numPr>
          <w:ilvl w:val="0"/>
          <w:numId w:val="1"/>
        </w:numPr>
        <w:spacing w:after="80"/>
      </w:pPr>
      <w:r>
        <w:rPr>
          <w:rFonts w:ascii="Calibri" w:cs="Calibri" w:eastAsia="Calibri" w:hAnsi="Calibri"/>
          <w:sz w:val="22"/>
          <w:szCs w:val="22"/>
        </w:rPr>
        <w:t xml:space="preserve">Tema 3 — Lapisan ML/anomaly detection di atas ZTA (federated learning, supervised RF/SVM, unsupervised clustering) sebagai "autentikasi adaptif" (mendukung RQ3).</w:t>
      </w:r>
    </w:p>
    <w:p>
      <w:pPr>
        <w:pStyle w:val="ListParagraph"/>
        <w:numPr>
          <w:ilvl w:val="0"/>
          <w:numId w:val="1"/>
        </w:numPr>
        <w:spacing w:after="80"/>
      </w:pPr>
      <w:r>
        <w:rPr>
          <w:rFonts w:ascii="Calibri" w:cs="Calibri" w:eastAsia="Calibri" w:hAnsi="Calibri"/>
          <w:sz w:val="22"/>
          <w:szCs w:val="22"/>
        </w:rPr>
        <w:t xml:space="preserve">Tema 4 — Pengukuran overhead performa ZTA (latency, RTT, jitter, throughput) dan trade-off keamanan vs. performa (mendukung RQ4).</w:t>
      </w:r>
    </w:p>
    <w:p>
      <w:pPr>
        <w:pStyle w:val="ListParagraph"/>
        <w:numPr>
          <w:ilvl w:val="0"/>
          <w:numId w:val="1"/>
        </w:numPr>
        <w:spacing w:after="80"/>
      </w:pPr>
      <w:r>
        <w:rPr>
          <w:rFonts w:ascii="Calibri" w:cs="Calibri" w:eastAsia="Calibri" w:hAnsi="Calibri"/>
          <w:sz w:val="22"/>
          <w:szCs w:val="22"/>
        </w:rPr>
        <w:t xml:space="preserve">Tema 5 — Studi kasus penerapan ZTA di Indonesia, khususnya sektor finansial/perbankan (Surantha et al.) — relevan untuk bagian rekomendasi/kontribusi proposal.</w:t>
      </w:r>
    </w:p>
    <w:p>
      <w:pPr>
        <w:pStyle w:val="ListParagraph"/>
        <w:numPr>
          <w:ilvl w:val="0"/>
          <w:numId w:val="1"/>
        </w:numPr>
        <w:spacing w:after="80"/>
      </w:pPr>
      <w:r>
        <w:rPr>
          <w:rFonts w:ascii="Calibri" w:cs="Calibri" w:eastAsia="Calibri" w:hAnsi="Calibri"/>
          <w:sz w:val="22"/>
          <w:szCs w:val="22"/>
        </w:rPr>
        <w:t xml:space="preserve">Tema 6 — Metodologi testbed berbasis container (Docker) untuk simulasi jaringan dan serangan yang dapat direplikasi.</w:t>
      </w:r>
    </w:p>
    <w:p>
      <w:pPr>
        <w:pStyle w:val="Heading1"/>
        <w:spacing w:after="150" w:before="300"/>
      </w:pPr>
      <w:r>
        <w:t xml:space="preserve">5. Peluang Riset Awal</w:t>
      </w:r>
    </w:p>
    <w:p>
      <w:pPr>
        <w:spacing w:after="160"/>
      </w:pPr>
      <w:r>
        <w:rPr>
          <w:rFonts w:ascii="Calibri" w:cs="Calibri" w:eastAsia="Calibri" w:hAnsi="Calibri"/>
          <w:sz w:val="22"/>
          <w:szCs w:val="22"/>
        </w:rPr>
        <w:t xml:space="preserve">Berdasarkan literatur yang teridentifikasi lewat strategi pencarian di atas (bukan klaim menyeluruh atas seluruh literatur yang ada):</w:t>
      </w:r>
    </w:p>
    <w:p>
      <w:pPr>
        <w:pStyle w:val="ListParagraph"/>
        <w:numPr>
          <w:ilvl w:val="0"/>
          <w:numId w:val="1"/>
        </w:numPr>
        <w:spacing w:after="80"/>
      </w:pPr>
      <w:r>
        <w:rPr>
          <w:rFonts w:ascii="Calibri" w:cs="Calibri" w:eastAsia="Calibri" w:hAnsi="Calibri"/>
          <w:sz w:val="22"/>
          <w:szCs w:val="22"/>
        </w:rPr>
        <w:t xml:space="preserve">Sebagian besar studi "ZTA + ML anomaly detection" (Tema 3) berfokus pada konteks IoT, cloud-native, atau industri berskala besar; belum banyak ditemukan studi yang membandingkan tiga skenario sekaligus (tradisional vs. ZTA statis vs. ZTA + ML) dalam satu purwarupa terkontrol — ini berpotensi menjadi kontribusi pembeda proposal.</w:t>
      </w:r>
    </w:p>
    <w:p>
      <w:pPr>
        <w:pStyle w:val="ListParagraph"/>
        <w:numPr>
          <w:ilvl w:val="0"/>
          <w:numId w:val="1"/>
        </w:numPr>
        <w:spacing w:after="80"/>
      </w:pPr>
      <w:r>
        <w:rPr>
          <w:rFonts w:ascii="Calibri" w:cs="Calibri" w:eastAsia="Calibri" w:hAnsi="Calibri"/>
          <w:sz w:val="22"/>
          <w:szCs w:val="22"/>
        </w:rPr>
        <w:t xml:space="preserve">Studi overhead performa ZTA (Tema 4) banyak dilakukan pada lingkungan cloud/microservices skala menengah-besar; belum banyak literatur yang mengukur overhead spesifik untuk lapisan deteksi anomali tambahan (bukan hanya overhead ZTA statis itu sendiri).</w:t>
      </w:r>
    </w:p>
    <w:p>
      <w:pPr>
        <w:pStyle w:val="ListParagraph"/>
        <w:numPr>
          <w:ilvl w:val="0"/>
          <w:numId w:val="1"/>
        </w:numPr>
        <w:spacing w:after="80"/>
      </w:pPr>
      <w:r>
        <w:rPr>
          <w:rFonts w:ascii="Calibri" w:cs="Calibri" w:eastAsia="Calibri" w:hAnsi="Calibri"/>
          <w:sz w:val="22"/>
          <w:szCs w:val="22"/>
        </w:rPr>
        <w:t xml:space="preserve">Studi kasus ZTA Indonesia (Tema 5) sejauh ini terkonsentrasi pada desain jaringan/infrastruktur (Kubernetes, mikro-segmentasi) dan belum banyak yang mengevaluasi lapisan deteksi anomali ML secara terpadu — ini memperkuat relevansi rekomendasi "adaptasi ZTA adaptif untuk konteks institusi Indonesia" di proposal.</w:t>
      </w:r>
    </w:p>
    <w:p>
      <w:pPr>
        <w:spacing w:after="160"/>
      </w:pPr>
      <w:r>
        <w:rPr>
          <w:rFonts w:ascii="Calibri" w:cs="Calibri" w:eastAsia="Calibri" w:hAnsi="Calibri"/>
          <w:sz w:val="22"/>
          <w:szCs w:val="22"/>
        </w:rPr>
        <w:t xml:space="preserve">Catatan: poin-poin di atas adalah peluang awal berdasarkan cakupan pencarian yang dilakukan, bukan pernyataan definitif bahwa gap tersebut belum pernah diteliti sama sekali di luar cakupan pencarian ini — perlu ditelusuri lebih lanjut saat menyusun bab tinjauan pustaka penuh.</w:t>
      </w:r>
    </w:p>
    <w:p>
      <w:pPr>
        <w:pStyle w:val="Heading1"/>
        <w:spacing w:after="150" w:before="300"/>
      </w:pPr>
      <w:r>
        <w:t xml:space="preserve">6. Daftar Pustaka (Draf, Format APA — Perlu Disesuaikan dengan Gaya Sitasi Pembimbing)</w:t>
      </w:r>
    </w:p>
    <w:p>
      <w:pPr>
        <w:spacing w:after="160"/>
      </w:pPr>
      <w:r>
        <w:rPr>
          <w:rFonts w:ascii="Calibri" w:cs="Calibri" w:eastAsia="Calibri" w:hAnsi="Calibri"/>
          <w:sz w:val="22"/>
          <w:szCs w:val="22"/>
        </w:rPr>
        <w:t xml:space="preserve">Kang, H., Liu, G., Wang, Q., Meng, L., &amp; Liu, J. (2023). Theory and application of zero trust security: A brief survey. Entropy, 25(12), 1595.</w:t>
      </w:r>
    </w:p>
    <w:p>
      <w:pPr>
        <w:spacing w:after="160"/>
      </w:pPr>
      <w:r>
        <w:rPr>
          <w:rFonts w:ascii="Calibri" w:cs="Calibri" w:eastAsia="Calibri" w:hAnsi="Calibri"/>
          <w:sz w:val="22"/>
          <w:szCs w:val="22"/>
        </w:rPr>
        <w:t xml:space="preserve">Marchand-Niño, et al. (2026). Docker container-based infrastructure pentesting laboratories for cybersecurity education. Journal of Technology and Science Education.</w:t>
      </w:r>
    </w:p>
    <w:p>
      <w:pPr>
        <w:spacing w:after="160"/>
      </w:pPr>
      <w:r>
        <w:rPr>
          <w:rFonts w:ascii="Calibri" w:cs="Calibri" w:eastAsia="Calibri" w:hAnsi="Calibri"/>
          <w:sz w:val="22"/>
          <w:szCs w:val="22"/>
        </w:rPr>
        <w:t xml:space="preserve">Pokhrel, S. R., Yang, L., Rajasegarar, S., &amp; Li, G. (2024). Robust zero trust architecture: Joint blockchain based federated learning and anomaly detection based framework. Proceedings of the SIGCOMM Workshop on Zero Trust Architecture for Next Generation Communications (ZTA-NextGen '24), 7–12.</w:t>
      </w:r>
    </w:p>
    <w:p>
      <w:pPr>
        <w:spacing w:after="160"/>
      </w:pPr>
      <w:r>
        <w:rPr>
          <w:rFonts w:ascii="Calibri" w:cs="Calibri" w:eastAsia="Calibri" w:hAnsi="Calibri"/>
          <w:sz w:val="22"/>
          <w:szCs w:val="22"/>
        </w:rPr>
        <w:t xml:space="preserve">Rose, S., Borchert, O., Mitchell, S., &amp; Connelly, S. (2020). Zero trust architecture (NIST Special Publication 800-207). National Institute of Standards and Technology.</w:t>
      </w:r>
    </w:p>
    <w:p>
      <w:pPr>
        <w:spacing w:after="160"/>
      </w:pPr>
      <w:r>
        <w:rPr>
          <w:rFonts w:ascii="Calibri" w:cs="Calibri" w:eastAsia="Calibri" w:hAnsi="Calibri"/>
          <w:sz w:val="22"/>
          <w:szCs w:val="22"/>
        </w:rPr>
        <w:t xml:space="preserve">Powell, B. A. (2021). Role-based lateral movement detection with unsupervised learning. arXiv:2108.02713.</w:t>
      </w:r>
    </w:p>
    <w:p>
      <w:pPr>
        <w:spacing w:after="160"/>
      </w:pPr>
      <w:r>
        <w:rPr>
          <w:rFonts w:ascii="Calibri" w:cs="Calibri" w:eastAsia="Calibri" w:hAnsi="Calibri"/>
          <w:sz w:val="22"/>
          <w:szCs w:val="22"/>
        </w:rPr>
        <w:t xml:space="preserve">Sandhu, K., et al. (2024). AI-powered anomaly detection in zero trust environments: A comprehensive review of methods and evaluation. Nanotechnology Perceptions, 20(S16), 2634–2654.</w:t>
      </w:r>
    </w:p>
    <w:p>
      <w:pPr>
        <w:spacing w:after="160"/>
      </w:pPr>
      <w:r>
        <w:rPr>
          <w:rFonts w:ascii="Calibri" w:cs="Calibri" w:eastAsia="Calibri" w:hAnsi="Calibri"/>
          <w:sz w:val="22"/>
          <w:szCs w:val="22"/>
        </w:rPr>
        <w:t xml:space="preserve">Surantha, N., &amp; Ivan, F. (2020). Secure Kubernetes networking design based on zero trust model: A case study of financial service enterprise in Indonesia. In Innovative Mobile and Internet Services in Ubiquitous Computing (IMIS 2019), Advances in Intelligent Systems and Computing, vol. 994. Springer.</w:t>
      </w:r>
    </w:p>
    <w:p>
      <w:pPr>
        <w:spacing w:after="160"/>
      </w:pPr>
      <w:r>
        <w:rPr>
          <w:rFonts w:ascii="Calibri" w:cs="Calibri" w:eastAsia="Calibri" w:hAnsi="Calibri"/>
          <w:sz w:val="22"/>
          <w:szCs w:val="22"/>
        </w:rPr>
        <w:t xml:space="preserve">Surantha, N., Ivan, F., &amp; Chandra, R. (2023). A case analysis for Kubernetes network security of financial service industry in Indonesia using zero trust model. Bulletin of Electrical Engineering and Informatics, 12(5), 3142–3152.</w:t>
      </w:r>
    </w:p>
    <w:p>
      <w:pPr>
        <w:spacing w:after="160"/>
      </w:pPr>
      <w:r>
        <w:rPr>
          <w:rFonts w:ascii="Calibri" w:cs="Calibri" w:eastAsia="Calibri" w:hAnsi="Calibri"/>
          <w:sz w:val="22"/>
          <w:szCs w:val="22"/>
        </w:rPr>
        <w:t xml:space="preserve">(2025). Zero trust architecture: A systematic literature review. arXiv:2503.11659.</w:t>
      </w:r>
    </w:p>
    <w:p>
      <w:pPr>
        <w:spacing w:after="160"/>
      </w:pPr>
      <w:r>
        <w:rPr>
          <w:rFonts w:ascii="Calibri" w:cs="Calibri" w:eastAsia="Calibri" w:hAnsi="Calibri"/>
          <w:sz w:val="22"/>
          <w:szCs w:val="22"/>
        </w:rPr>
        <w:t xml:space="preserve">(2025). Zero trust security model implementation in microservices architectures using identity federation. arXiv:2511.04925.</w:t>
      </w:r>
    </w:p>
    <w:p>
      <w:pPr>
        <w:spacing w:after="160"/>
      </w:pPr>
      <w:r>
        <w:rPr>
          <w:rFonts w:ascii="Calibri" w:cs="Calibri" w:eastAsia="Calibri" w:hAnsi="Calibri"/>
          <w:sz w:val="22"/>
          <w:szCs w:val="22"/>
        </w:rPr>
        <w:t xml:space="preserve">(2026). A three-tier microsegmentation framework for enterprise networks under Zero Trust Architecture. ScienceDirect (jurnal, akses lewat DOI artikel).</w:t>
      </w:r>
    </w:p>
    <w:p>
      <w:pPr>
        <w:spacing w:after="160"/>
      </w:pPr>
      <w:r>
        <w:rPr>
          <w:rFonts w:ascii="Calibri" w:cs="Calibri" w:eastAsia="Calibri" w:hAnsi="Calibri"/>
          <w:i/>
          <w:iCs/>
          <w:sz w:val="22"/>
          <w:szCs w:val="22"/>
        </w:rPr>
        <w:t xml:space="preserve">Catatan: beberapa entri di atas belum memiliki nama penulis lengkap/DOI yang terverifikasi penuh (ditandai tanpa nama penulis) — perlu ditelusuri sumber aslinya (klik tautan pada tabel §3) sebelum dimasukkan ke daftar pustaka final, sesuai kaidah tidak mengarang detail sitasi.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2026-09-20T17:09:12.161Z</dcterms:created>
  <dcterms:modified xsi:type="dcterms:W3CDTF">2026-09-20T17:09:12.173Z</dcterms:modified>
</cp:coreProperties>
</file>

<file path=docProps/custom.xml><?xml version="1.0" encoding="utf-8"?>
<Properties xmlns="http://schemas.openxmlformats.org/officeDocument/2006/custom-properties" xmlns:vt="http://schemas.openxmlformats.org/officeDocument/2006/docPropsVTypes"/>
</file>