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8DF" w:rsidRPr="00F448DF" w:rsidRDefault="00F448DF" w:rsidP="00F448DF">
      <w:pPr>
        <w:spacing w:after="0" w:line="240" w:lineRule="auto"/>
        <w:rPr>
          <w:rFonts w:ascii="Cambria" w:eastAsia="MS Mincho" w:hAnsi="Cambria" w:cs="Times New Roman"/>
          <w:sz w:val="24"/>
          <w:szCs w:val="24"/>
          <w:lang w:val="en-US" w:eastAsia="fr-FR"/>
        </w:rPr>
      </w:pPr>
      <w:bookmarkStart w:id="0" w:name="_GoBack"/>
      <w:r w:rsidRPr="00F448DF">
        <w:rPr>
          <w:rFonts w:ascii="Cambria" w:eastAsia="MS Mincho" w:hAnsi="Cambria" w:cs="Times New Roman"/>
          <w:sz w:val="24"/>
          <w:szCs w:val="24"/>
          <w:lang w:val="en-US" w:eastAsia="fr-FR"/>
        </w:rPr>
        <w:t>Supplementary Table 1</w:t>
      </w:r>
      <w:bookmarkEnd w:id="0"/>
      <w:r w:rsidRPr="00F448DF">
        <w:rPr>
          <w:rFonts w:ascii="Cambria" w:eastAsia="MS Mincho" w:hAnsi="Cambria" w:cs="Times New Roman"/>
          <w:sz w:val="24"/>
          <w:szCs w:val="24"/>
          <w:lang w:val="en-US" w:eastAsia="fr-FR"/>
        </w:rPr>
        <w:t>: Median and 95%CI overall survival (months) by metastatic burden (HV or LV disease) and time to metastases (upfront or after prior local treatment)</w:t>
      </w:r>
    </w:p>
    <w:p w:rsidR="00F448DF" w:rsidRPr="00F448DF" w:rsidRDefault="00F448DF" w:rsidP="00F448DF">
      <w:pPr>
        <w:spacing w:after="0" w:line="240" w:lineRule="auto"/>
        <w:rPr>
          <w:rFonts w:ascii="Cambria" w:eastAsia="MS Mincho" w:hAnsi="Cambria" w:cs="Times New Roman"/>
          <w:sz w:val="24"/>
          <w:szCs w:val="24"/>
          <w:lang w:val="en-US" w:eastAsia="fr-FR"/>
        </w:rPr>
      </w:pPr>
    </w:p>
    <w:tbl>
      <w:tblPr>
        <w:tblStyle w:val="TableGrid"/>
        <w:tblW w:w="4564" w:type="pct"/>
        <w:tblLook w:val="04A0"/>
      </w:tblPr>
      <w:tblGrid>
        <w:gridCol w:w="1404"/>
        <w:gridCol w:w="1024"/>
        <w:gridCol w:w="1368"/>
        <w:gridCol w:w="1418"/>
        <w:gridCol w:w="1562"/>
        <w:gridCol w:w="1702"/>
      </w:tblGrid>
      <w:tr w:rsidR="00F448DF" w:rsidRPr="00F448DF" w:rsidTr="00091182">
        <w:tc>
          <w:tcPr>
            <w:tcW w:w="828" w:type="pct"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1643" w:type="pct"/>
            <w:gridSpan w:val="2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 xml:space="preserve">HV </w:t>
            </w:r>
          </w:p>
        </w:tc>
        <w:tc>
          <w:tcPr>
            <w:tcW w:w="1925" w:type="pct"/>
            <w:gridSpan w:val="2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LV</w:t>
            </w:r>
          </w:p>
        </w:tc>
      </w:tr>
      <w:tr w:rsidR="00F448DF" w:rsidRPr="00F448DF" w:rsidTr="00091182">
        <w:tc>
          <w:tcPr>
            <w:tcW w:w="828" w:type="pct"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807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 xml:space="preserve">Upfront </w:t>
            </w:r>
          </w:p>
        </w:tc>
        <w:tc>
          <w:tcPr>
            <w:tcW w:w="836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PRLT</w:t>
            </w:r>
          </w:p>
        </w:tc>
        <w:tc>
          <w:tcPr>
            <w:tcW w:w="921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 xml:space="preserve">Upfront </w:t>
            </w:r>
          </w:p>
        </w:tc>
        <w:tc>
          <w:tcPr>
            <w:tcW w:w="10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PRLT</w:t>
            </w:r>
          </w:p>
        </w:tc>
      </w:tr>
      <w:tr w:rsidR="00F448DF" w:rsidRPr="00F448DF" w:rsidTr="00091182">
        <w:tc>
          <w:tcPr>
            <w:tcW w:w="828" w:type="pct"/>
            <w:vMerge w:val="restart"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CHAARTED</w:t>
            </w: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807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N= 421</w:t>
            </w:r>
          </w:p>
        </w:tc>
        <w:tc>
          <w:tcPr>
            <w:tcW w:w="836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N= 91</w:t>
            </w:r>
          </w:p>
        </w:tc>
        <w:tc>
          <w:tcPr>
            <w:tcW w:w="921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N= 154</w:t>
            </w:r>
          </w:p>
        </w:tc>
        <w:tc>
          <w:tcPr>
            <w:tcW w:w="10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N= 123</w:t>
            </w:r>
          </w:p>
        </w:tc>
      </w:tr>
      <w:tr w:rsidR="00F448DF" w:rsidRPr="00F448DF" w:rsidTr="00091182">
        <w:tc>
          <w:tcPr>
            <w:tcW w:w="828" w:type="pct"/>
            <w:vMerge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ADT + D</w:t>
            </w:r>
          </w:p>
        </w:tc>
        <w:tc>
          <w:tcPr>
            <w:tcW w:w="807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48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(42.5; 56.7)</w:t>
            </w:r>
          </w:p>
        </w:tc>
        <w:tc>
          <w:tcPr>
            <w:tcW w:w="836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66.9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(49.1; 76.9)</w:t>
            </w:r>
          </w:p>
        </w:tc>
        <w:tc>
          <w:tcPr>
            <w:tcW w:w="921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58.3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(53.8; 79.3)</w:t>
            </w:r>
          </w:p>
        </w:tc>
        <w:tc>
          <w:tcPr>
            <w:tcW w:w="10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69.6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(59.6; NR)</w:t>
            </w:r>
          </w:p>
        </w:tc>
      </w:tr>
      <w:tr w:rsidR="00F448DF" w:rsidRPr="00F448DF" w:rsidTr="00091182">
        <w:tc>
          <w:tcPr>
            <w:tcW w:w="828" w:type="pct"/>
            <w:vMerge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ADT alone</w:t>
            </w:r>
          </w:p>
        </w:tc>
        <w:tc>
          <w:tcPr>
            <w:tcW w:w="807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 xml:space="preserve">33.1 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(29.5; 39.2)</w:t>
            </w:r>
          </w:p>
        </w:tc>
        <w:tc>
          <w:tcPr>
            <w:tcW w:w="836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51.7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(27.2; NR)</w:t>
            </w:r>
          </w:p>
        </w:tc>
        <w:tc>
          <w:tcPr>
            <w:tcW w:w="921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59.8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(49.1; NR)</w:t>
            </w:r>
          </w:p>
        </w:tc>
        <w:tc>
          <w:tcPr>
            <w:tcW w:w="10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NR (NR; NR)</w:t>
            </w:r>
          </w:p>
        </w:tc>
      </w:tr>
      <w:tr w:rsidR="00F448DF" w:rsidRPr="00F448DF" w:rsidTr="00091182">
        <w:tc>
          <w:tcPr>
            <w:tcW w:w="828" w:type="pct"/>
            <w:vMerge w:val="restart"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GETUG-AFU15</w:t>
            </w: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807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N= 153</w:t>
            </w:r>
          </w:p>
        </w:tc>
        <w:tc>
          <w:tcPr>
            <w:tcW w:w="836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N= 29</w:t>
            </w:r>
          </w:p>
        </w:tc>
        <w:tc>
          <w:tcPr>
            <w:tcW w:w="921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N= 119</w:t>
            </w:r>
          </w:p>
        </w:tc>
        <w:tc>
          <w:tcPr>
            <w:tcW w:w="10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N= 79</w:t>
            </w:r>
          </w:p>
        </w:tc>
      </w:tr>
      <w:tr w:rsidR="00F448DF" w:rsidRPr="00F448DF" w:rsidTr="00091182">
        <w:tc>
          <w:tcPr>
            <w:tcW w:w="828" w:type="pct"/>
            <w:vMerge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ADT + D</w:t>
            </w:r>
          </w:p>
        </w:tc>
        <w:tc>
          <w:tcPr>
            <w:tcW w:w="807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43.6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(29.6; 54.3)</w:t>
            </w:r>
          </w:p>
        </w:tc>
        <w:tc>
          <w:tcPr>
            <w:tcW w:w="836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 xml:space="preserve">27 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(21.9; NR)</w:t>
            </w:r>
          </w:p>
        </w:tc>
        <w:tc>
          <w:tcPr>
            <w:tcW w:w="921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69.1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(56.8; NR)</w:t>
            </w:r>
          </w:p>
        </w:tc>
        <w:tc>
          <w:tcPr>
            <w:tcW w:w="10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NR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(75; NR)</w:t>
            </w:r>
          </w:p>
        </w:tc>
      </w:tr>
      <w:tr w:rsidR="00F448DF" w:rsidRPr="00F448DF" w:rsidTr="00091182">
        <w:tc>
          <w:tcPr>
            <w:tcW w:w="828" w:type="pct"/>
            <w:vMerge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ADT alone</w:t>
            </w:r>
          </w:p>
        </w:tc>
        <w:tc>
          <w:tcPr>
            <w:tcW w:w="807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 xml:space="preserve">34 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(28.5; 43.6)</w:t>
            </w:r>
          </w:p>
        </w:tc>
        <w:tc>
          <w:tcPr>
            <w:tcW w:w="836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 xml:space="preserve">45.4 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(32; NR)</w:t>
            </w:r>
          </w:p>
        </w:tc>
        <w:tc>
          <w:tcPr>
            <w:tcW w:w="921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81.1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(48.5; NR)</w:t>
            </w:r>
          </w:p>
        </w:tc>
        <w:tc>
          <w:tcPr>
            <w:tcW w:w="10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NR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(69.8;NR)</w:t>
            </w:r>
          </w:p>
        </w:tc>
      </w:tr>
      <w:tr w:rsidR="00F448DF" w:rsidRPr="00F448DF" w:rsidTr="00091182">
        <w:tc>
          <w:tcPr>
            <w:tcW w:w="828" w:type="pct"/>
            <w:vAlign w:val="center"/>
          </w:tcPr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CHAARTED</w:t>
            </w:r>
          </w:p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 xml:space="preserve">+ </w:t>
            </w:r>
          </w:p>
          <w:p w:rsidR="00F448DF" w:rsidRPr="00F448DF" w:rsidRDefault="00F448DF" w:rsidP="00F448DF">
            <w:pPr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GETUG-AFU15</w:t>
            </w:r>
          </w:p>
        </w:tc>
        <w:tc>
          <w:tcPr>
            <w:tcW w:w="6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Pooled average HR (95% CI), p *</w:t>
            </w:r>
          </w:p>
        </w:tc>
        <w:tc>
          <w:tcPr>
            <w:tcW w:w="807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0.67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(0.55; 0.83)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0.002</w:t>
            </w:r>
          </w:p>
        </w:tc>
        <w:tc>
          <w:tcPr>
            <w:tcW w:w="836" w:type="pct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0.73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(0.4; 1.32)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0.3</w:t>
            </w:r>
          </w:p>
        </w:tc>
        <w:tc>
          <w:tcPr>
            <w:tcW w:w="921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1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(0.7; 1.44)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&gt;0.9</w:t>
            </w:r>
          </w:p>
        </w:tc>
        <w:tc>
          <w:tcPr>
            <w:tcW w:w="1004" w:type="pct"/>
            <w:vAlign w:val="center"/>
          </w:tcPr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1.12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(0.66; 1.9)</w:t>
            </w:r>
          </w:p>
          <w:p w:rsidR="00F448DF" w:rsidRPr="00F448DF" w:rsidRDefault="00F448DF" w:rsidP="00F448DF">
            <w:pPr>
              <w:jc w:val="center"/>
              <w:rPr>
                <w:rFonts w:ascii="Cambria" w:hAnsi="Cambria" w:cs="Times New Roman"/>
                <w:lang w:val="en-US"/>
              </w:rPr>
            </w:pPr>
            <w:r w:rsidRPr="00F448DF">
              <w:rPr>
                <w:rFonts w:ascii="Cambria" w:hAnsi="Cambria" w:cs="Times New Roman"/>
                <w:lang w:val="en-US"/>
              </w:rPr>
              <w:t>0.7</w:t>
            </w:r>
          </w:p>
        </w:tc>
      </w:tr>
    </w:tbl>
    <w:p w:rsidR="00F448DF" w:rsidRPr="00F448DF" w:rsidRDefault="00F448DF" w:rsidP="00F448DF">
      <w:pPr>
        <w:numPr>
          <w:ilvl w:val="0"/>
          <w:numId w:val="1"/>
        </w:numPr>
        <w:spacing w:after="0" w:line="240" w:lineRule="auto"/>
        <w:contextualSpacing/>
        <w:rPr>
          <w:rFonts w:ascii="Cambria" w:eastAsia="MS Mincho" w:hAnsi="Cambria" w:cs="Times New Roman"/>
          <w:sz w:val="24"/>
          <w:szCs w:val="24"/>
          <w:lang w:val="en-US" w:eastAsia="fr-FR"/>
        </w:rPr>
      </w:pPr>
      <w:r w:rsidRPr="00F448DF">
        <w:rPr>
          <w:rFonts w:ascii="Cambria" w:eastAsia="MS Mincho" w:hAnsi="Cambria" w:cs="Times New Roman"/>
          <w:sz w:val="24"/>
          <w:szCs w:val="24"/>
          <w:lang w:val="en-US" w:eastAsia="fr-FR"/>
        </w:rPr>
        <w:t>PRLT= Prior Local Treatment</w:t>
      </w:r>
    </w:p>
    <w:p w:rsidR="00F448DF" w:rsidRPr="00F448DF" w:rsidRDefault="00F448DF" w:rsidP="00F448DF">
      <w:pPr>
        <w:numPr>
          <w:ilvl w:val="0"/>
          <w:numId w:val="1"/>
        </w:numPr>
        <w:spacing w:after="0" w:line="240" w:lineRule="auto"/>
        <w:contextualSpacing/>
        <w:rPr>
          <w:rFonts w:ascii="Cambria" w:eastAsia="MS Mincho" w:hAnsi="Cambria" w:cs="Times New Roman"/>
          <w:sz w:val="24"/>
          <w:szCs w:val="24"/>
          <w:lang w:val="en-US" w:eastAsia="fr-FR"/>
        </w:rPr>
      </w:pPr>
      <w:r w:rsidRPr="00F448DF">
        <w:rPr>
          <w:rFonts w:ascii="Cambria" w:eastAsia="MS Mincho" w:hAnsi="Cambria" w:cs="Times New Roman"/>
          <w:sz w:val="24"/>
          <w:szCs w:val="24"/>
          <w:lang w:val="en-US" w:eastAsia="fr-FR"/>
        </w:rPr>
        <w:t>* Pooled average HR (95% CI) and p value using inverse variance weights</w:t>
      </w:r>
    </w:p>
    <w:p w:rsidR="001B596C" w:rsidRPr="00F448DF" w:rsidRDefault="00A02ECB">
      <w:pPr>
        <w:rPr>
          <w:lang w:val="en-US"/>
        </w:rPr>
      </w:pPr>
    </w:p>
    <w:sectPr w:rsidR="001B596C" w:rsidRPr="00F448DF" w:rsidSect="009B77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CE41DF"/>
    <w:multiLevelType w:val="hybridMultilevel"/>
    <w:tmpl w:val="D4C05D56"/>
    <w:lvl w:ilvl="0" w:tplc="7E48092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compat/>
  <w:rsids>
    <w:rsidRoot w:val="00F448DF"/>
    <w:rsid w:val="0079458A"/>
    <w:rsid w:val="00856C65"/>
    <w:rsid w:val="009B77B2"/>
    <w:rsid w:val="00A02ECB"/>
    <w:rsid w:val="00F448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48DF"/>
    <w:pPr>
      <w:spacing w:after="0" w:line="240" w:lineRule="auto"/>
    </w:pPr>
    <w:rPr>
      <w:rFonts w:eastAsia="MS Mincho"/>
      <w:sz w:val="24"/>
      <w:szCs w:val="24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448DF"/>
    <w:pPr>
      <w:spacing w:after="0" w:line="240" w:lineRule="auto"/>
    </w:pPr>
    <w:rPr>
      <w:rFonts w:eastAsia="MS Mincho"/>
      <w:sz w:val="24"/>
      <w:szCs w:val="24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Paoli Calmettes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GRAVIS/MESCAM Gwenaelle</dc:creator>
  <cp:lastModifiedBy>LH</cp:lastModifiedBy>
  <cp:revision>2</cp:revision>
  <dcterms:created xsi:type="dcterms:W3CDTF">2018-01-31T11:14:00Z</dcterms:created>
  <dcterms:modified xsi:type="dcterms:W3CDTF">2018-01-31T11:14:00Z</dcterms:modified>
</cp:coreProperties>
</file>