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Project Design Phase-I</w:t>
      </w:r>
    </w:p>
    <w:p>
      <w:pPr>
        <w:spacing w:after="200" w:before="200"/>
        <w:jc w:val="center"/>
      </w:pPr>
      <w:r>
        <w:rPr>
          <w:b/>
          <w:bCs/>
          <w:color w:val="2E75B6"/>
          <w:sz w:val="28"/>
          <w:szCs w:val="28"/>
        </w:rPr>
        <w:t xml:space="preserve">Proposed Solution Template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CSE_189_SANIYA DAVANE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AI-Based Threat Intelligence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b/>
          <w:bCs/>
          <w:color w:val="2E75B6"/>
          <w:sz w:val="24"/>
          <w:szCs w:val="24"/>
        </w:rPr>
        <w:t xml:space="preserve">Proposed 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340"/>
        <w:gridCol w:w="6552"/>
      </w:tblGrid>
      <w:tr>
        <w:tc>
          <w:tcPr>
            <w:tcW w:type="dxa" w:w="46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S.No.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analysts at ABC Corporation struggle to detect and respond to cyber threats in real-time due to information overload, manual processes, and lack of a unified threat intelligence platform.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an AI-powered platform that aggregates threat data from multiple sources, uses ML to detect anomalies, NLP to analyze threat reports, and provides real-time alerts with an interactive dashboard.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Combines ML anomaly detection + NLP threat analysis + predictive analytics + VirusTotal API integration into ONE unified platform with real-time alerts and automated incident response.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Reduces cyber attack risks for organizations, protects sensitive user data, and faster incident response saves businesses from major financial and reputational losses.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SaaS subscription model — organizations pay monthly or yearly to access the platform based on number of users and data volume.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Cloud-based architecture (AWS/Azure) allows easy scaling as data volume, number of threats, and users grow without major infrastructure changes.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2026-06-14T17:48:14.202Z</dcterms:created>
  <dcterms:modified xsi:type="dcterms:W3CDTF">2026-06-14T17:48:14.202Z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