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color w:val="2E75B6"/>
          <w:sz w:val="28"/>
          <w:szCs w:val="28"/>
        </w:rPr>
        <w:t xml:space="preserve">Project Design Phase-II</w:t>
      </w:r>
    </w:p>
    <w:p>
      <w:pPr>
        <w:spacing w:after="200" w:before="200"/>
        <w:jc w:val="center"/>
      </w:pPr>
      <w:r>
        <w:rPr>
          <w:b/>
          <w:bCs/>
          <w:color w:val="2E75B6"/>
          <w:sz w:val="28"/>
          <w:szCs w:val="28"/>
        </w:rPr>
        <w:t xml:space="preserve">Technology Stack (Architecture &amp; Stack)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June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CSE_189_SANIYA DAVANE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AI-Based Threat Intelligence 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Table 1: Components &amp; Technologies: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340"/>
        <w:gridCol w:w="3276"/>
        <w:gridCol w:w="3276"/>
      </w:tblGrid>
      <w:tr>
        <w:tc>
          <w:tcPr>
            <w:tcW w:type="dxa" w:w="46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7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7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dashboard for security analysts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React.js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aggregation &amp; correlation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/ Apache Kafka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AI/ML anomaly detection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Python, Scikit-learn, TensorFlow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Logic-3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NLP threat analysis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Python, SpaCy / NLTK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threat intelligence data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Elasticsearch, PostgreSQL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Cloud-based data storage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RDS / AWS S3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threat reports &amp; logs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S3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API-1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Threat intelligence feeds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VirusTotal API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API-2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Dark web monitoring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Shodan API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Anomaly detection &amp; risk scoring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Isolation Forest / LSTM Model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deployment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EC2 / AWS Lambda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Table 2: Application Characteristics: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340"/>
        <w:gridCol w:w="3276"/>
        <w:gridCol w:w="3276"/>
      </w:tblGrid>
      <w:tr>
        <w:tc>
          <w:tcPr>
            <w:tcW w:type="dxa" w:w="46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27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7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Frameworks used in the platform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Apache Kafka, Elasticsearch, TensorFlow, SpaCy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controls implemented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SHA-256 encryption, JWT, OAuth2, OWASP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Microservices based 3-tier architecture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Docker, Kubernetes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balancing &amp; distributed servers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Load Balancer, Auto Scaling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performance request handling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Cache, AWS CloudFront CDN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2026-06-14T17:48:14.207Z</dcterms:created>
  <dcterms:modified xsi:type="dcterms:W3CDTF">2026-06-14T17:48:14.207Z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