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HEALTHCARE AI CONSENT</w:t>
        <w:br/>
        <w:t>AND INFERENCE AUDIT</w:t>
      </w:r>
    </w:p>
    <w:p>
      <w:pPr>
        <w:jc w:val="center"/>
      </w:pPr>
      <w:r>
        <w:rPr>
          <w:i/>
        </w:rPr>
        <w:t>College Project Report — Educational Prototype</w:t>
      </w:r>
    </w:p>
    <w:p/>
    <w:p>
      <w:pPr>
        <w:pStyle w:val="Heading1"/>
      </w:pPr>
      <w:r>
        <w:t>1. Abstract</w:t>
      </w:r>
    </w:p>
    <w:p>
      <w:r>
        <w:t>This project presents a privacy-aware prototype that combines a local blockchain audit layer with a simple non-clinical AI scoring workflow. A patient can grant narrowly scoped consent to a provider for a registered model. Before an inference is executed, the system checks the provider, synthetic subject, model, purpose, expiry and revocation state. A receipt containing cryptographic digests is then created for auditability. Real patient records are intentionally excluded.</w:t>
      </w:r>
    </w:p>
    <w:p>
      <w:pPr>
        <w:pStyle w:val="Heading1"/>
      </w:pPr>
      <w:r>
        <w:t>2. Problem Statement</w:t>
      </w:r>
    </w:p>
    <w:p>
      <w:r>
        <w:t>AI systems may process sensitive data, so an auditable mechanism is needed to demonstrate that an inference was performed only under the required authorization. The prototype addresses consent scope, expiry, revocation, provider authorization, model version tracking and inference receipts.</w:t>
      </w:r>
    </w:p>
    <w:p>
      <w:pPr>
        <w:pStyle w:val="Heading1"/>
      </w:pPr>
      <w:r>
        <w:t>3. Objectives</w:t>
      </w:r>
    </w:p>
    <w:p>
      <w:pPr>
        <w:pStyle w:val="ListBullet"/>
      </w:pPr>
      <w:r>
        <w:t>Implement role-based Patient, Provider and Admin workflows.</w:t>
      </w:r>
    </w:p>
    <w:p>
      <w:pPr>
        <w:pStyle w:val="ListBullet"/>
      </w:pPr>
      <w:r>
        <w:t>Store application data in a relational database.</w:t>
      </w:r>
    </w:p>
    <w:p>
      <w:pPr>
        <w:pStyle w:val="ListBullet"/>
      </w:pPr>
      <w:r>
        <w:t>Register AI model versions and calculate model digests.</w:t>
      </w:r>
    </w:p>
    <w:p>
      <w:pPr>
        <w:pStyle w:val="ListBullet"/>
      </w:pPr>
      <w:r>
        <w:t>Grant and revoke scoped consent.</w:t>
      </w:r>
    </w:p>
    <w:p>
      <w:pPr>
        <w:pStyle w:val="ListBullet"/>
      </w:pPr>
      <w:r>
        <w:t>Reject unauthorized, mismatched, expired or revoked inference requests.</w:t>
      </w:r>
    </w:p>
    <w:p>
      <w:pPr>
        <w:pStyle w:val="ListBullet"/>
      </w:pPr>
      <w:r>
        <w:t>Create inference receipts containing model and output digests.</w:t>
      </w:r>
    </w:p>
    <w:p>
      <w:pPr>
        <w:pStyle w:val="ListBullet"/>
      </w:pPr>
      <w:r>
        <w:t>Demonstrate a Solidity audit contract on a local Hardhat blockchain.</w:t>
      </w:r>
    </w:p>
    <w:p>
      <w:pPr>
        <w:pStyle w:val="ListBullet"/>
      </w:pPr>
      <w:r>
        <w:t>Provide a browser dashboard suitable for a live college demonstration.</w:t>
      </w:r>
    </w:p>
    <w:p>
      <w:pPr>
        <w:pStyle w:val="Heading1"/>
      </w:pPr>
      <w:r>
        <w:t>4. Technology Stack</w:t>
      </w:r>
    </w:p>
    <w:p>
      <w:pPr>
        <w:pStyle w:val="ListBullet"/>
      </w:pPr>
      <w:r>
        <w:t>Java 21 and Spring Boot 3.5.6</w:t>
      </w:r>
    </w:p>
    <w:p>
      <w:pPr>
        <w:pStyle w:val="ListBullet"/>
      </w:pPr>
      <w:r>
        <w:t>Spring Security for login and role-based access</w:t>
      </w:r>
    </w:p>
    <w:p>
      <w:pPr>
        <w:pStyle w:val="ListBullet"/>
      </w:pPr>
      <w:r>
        <w:t>Spring Data JPA + H2 for the application database</w:t>
      </w:r>
    </w:p>
    <w:p>
      <w:pPr>
        <w:pStyle w:val="ListBullet"/>
      </w:pPr>
      <w:r>
        <w:t>Thymeleaf, HTML, CSS and JavaScript for the UI</w:t>
      </w:r>
    </w:p>
    <w:p>
      <w:pPr>
        <w:pStyle w:val="ListBullet"/>
      </w:pPr>
      <w:r>
        <w:t>Solidity 0.8.24 + Hardhat for the blockchain layer</w:t>
      </w:r>
    </w:p>
    <w:p>
      <w:pPr>
        <w:pStyle w:val="ListBullet"/>
      </w:pPr>
      <w:r>
        <w:t>MetaMask for local wallet interaction</w:t>
      </w:r>
    </w:p>
    <w:p>
      <w:pPr>
        <w:pStyle w:val="Heading1"/>
      </w:pPr>
      <w:r>
        <w:t>5. System Architecture</w:t>
      </w:r>
    </w:p>
    <w:p>
      <w:r>
        <w:t>The system has three logical layers. The presentation layer provides role-specific browser pages. The application layer validates consent, executes the deliberately non-clinical scoring rule, and stores audit records in H2. The blockchain layer stores consent metadata and cryptographic evidence without storing raw health data.</w:t>
      </w:r>
    </w:p>
    <w:p>
      <w:pPr>
        <w:pStyle w:val="Heading1"/>
      </w:pPr>
      <w:r>
        <w:t>6. User Roles</w:t>
      </w:r>
    </w:p>
    <w:p>
      <w:pPr>
        <w:pStyle w:val="ListBullet"/>
      </w:pPr>
      <w:r>
        <w:t>Patient: grants consent and revokes consent.</w:t>
      </w:r>
    </w:p>
    <w:p>
      <w:pPr>
        <w:pStyle w:val="ListBullet"/>
      </w:pPr>
      <w:r>
        <w:t>Provider: submits a prediction request and receives an inference receipt only when consent is valid.</w:t>
      </w:r>
    </w:p>
    <w:p>
      <w:pPr>
        <w:pStyle w:val="ListBullet"/>
      </w:pPr>
      <w:r>
        <w:t>Admin: registers model versions and reviews audit records.</w:t>
      </w:r>
    </w:p>
    <w:p>
      <w:pPr>
        <w:pStyle w:val="Heading1"/>
      </w:pPr>
      <w:r>
        <w:t>7. Database Design</w:t>
      </w:r>
    </w:p>
    <w:p>
      <w:r>
        <w:t>The prototype contains three principal tables: consents, model_registry and inference_audit. Consents contain pseudonymous subject IDs, provider, model, purpose, expiry and revocation state. The model registry contains model version and digest information. The audit table stores receipt ID, consent ID, subject ID, provider, model digest, output digest, output label and timestamp.</w:t>
      </w:r>
    </w:p>
    <w:p>
      <w:pPr>
        <w:pStyle w:val="Heading1"/>
      </w:pPr>
      <w:r>
        <w:t>8. AI Model</w:t>
      </w:r>
    </w:p>
    <w:p>
      <w:r>
        <w:t>The model is intentionally non-clinical. It uses a transparent scoring rule: age above 50 contributes one point, blood pressure above 140 contributes one point, and cholesterol above 200 contributes one point. A score of at least two is labelled HIGH_SCORE; otherwise LOW_SCORE. This is only an educational rule and must not be interpreted as a diagnosis or clinical recommendation.</w:t>
      </w:r>
    </w:p>
    <w:p>
      <w:pPr>
        <w:pStyle w:val="Heading1"/>
      </w:pPr>
      <w:r>
        <w:t>9. Blockchain Smart Contract</w:t>
      </w:r>
    </w:p>
    <w:p>
      <w:r>
        <w:t>HealthcareConsentAudit.sol provides model registration, consent creation, revocation, authorization checking and inference receipt recording. It stores pseudonymous identifiers and digests rather than raw patient information.</w:t>
      </w:r>
    </w:p>
    <w:p>
      <w:pPr>
        <w:pStyle w:val="Heading1"/>
      </w:pPr>
      <w:r>
        <w:t>10. Privacy Design</w:t>
      </w:r>
    </w:p>
    <w:p>
      <w:pPr>
        <w:pStyle w:val="ListBullet"/>
      </w:pPr>
      <w:r>
        <w:t>Synthetic records only.</w:t>
      </w:r>
    </w:p>
    <w:p>
      <w:pPr>
        <w:pStyle w:val="ListBullet"/>
      </w:pPr>
      <w:r>
        <w:t>No diagnosis or clinical record is stored on-chain.</w:t>
      </w:r>
    </w:p>
    <w:p>
      <w:pPr>
        <w:pStyle w:val="ListBullet"/>
      </w:pPr>
      <w:r>
        <w:t>Raw AI inputs remain off-chain.</w:t>
      </w:r>
    </w:p>
    <w:p>
      <w:pPr>
        <w:pStyle w:val="ListBullet"/>
      </w:pPr>
      <w:r>
        <w:t>Hashes/digests provide integrity evidence without publishing the original content.</w:t>
      </w:r>
    </w:p>
    <w:p>
      <w:pPr>
        <w:pStyle w:val="ListBullet"/>
      </w:pPr>
      <w:r>
        <w:t>A real deployment would require encryption, strong identity, key management, governance and regulatory controls.</w:t>
      </w:r>
    </w:p>
    <w:p>
      <w:pPr>
        <w:pStyle w:val="Heading1"/>
      </w:pPr>
      <w:r>
        <w:t>11. Mandatory Live Demonstration</w:t>
      </w:r>
    </w:p>
    <w:p>
      <w:pPr>
        <w:pStyle w:val="ListBullet"/>
      </w:pPr>
      <w:r>
        <w:t>Patient logs in and grants Provider permission for MODEL_V1.</w:t>
      </w:r>
    </w:p>
    <w:p>
      <w:pPr>
        <w:pStyle w:val="ListBullet"/>
      </w:pPr>
      <w:r>
        <w:t>Provider logs in and runs a matching inference; the result is allowed and a receipt is created.</w:t>
      </w:r>
    </w:p>
    <w:p>
      <w:pPr>
        <w:pStyle w:val="ListBullet"/>
      </w:pPr>
      <w:r>
        <w:t>Attempt with another provider or mismatched model; the system rejects the request.</w:t>
      </w:r>
    </w:p>
    <w:p>
      <w:pPr>
        <w:pStyle w:val="ListBullet"/>
      </w:pPr>
      <w:r>
        <w:t>Patient revokes the consent; the same provider attempts inference again and it is rejected.</w:t>
      </w:r>
    </w:p>
    <w:p>
      <w:pPr>
        <w:pStyle w:val="ListBullet"/>
      </w:pPr>
      <w:r>
        <w:t>Admin opens Model Registry and Audit views.</w:t>
      </w:r>
    </w:p>
    <w:p>
      <w:pPr>
        <w:pStyle w:val="ListBullet"/>
      </w:pPr>
      <w:r>
        <w:t>MetaMask connects to local Hardhat and Blockchain Dashboard is shown.</w:t>
      </w:r>
    </w:p>
    <w:p>
      <w:pPr>
        <w:pStyle w:val="Heading1"/>
      </w:pPr>
      <w:r>
        <w:t>12. Test Cases</w:t>
      </w:r>
    </w:p>
    <w:tbl>
      <w:tblPr>
        <w:tblW w:type="auto" w:w="0"/>
        <w:tblLook w:firstColumn="1" w:firstRow="1" w:lastColumn="0" w:lastRow="0" w:noHBand="0" w:noVBand="1" w:val="04A0"/>
      </w:tblPr>
      <w:tblGrid>
        <w:gridCol w:w="2160"/>
        <w:gridCol w:w="2160"/>
        <w:gridCol w:w="2160"/>
        <w:gridCol w:w="2160"/>
      </w:tblGrid>
      <w:tr>
        <w:tc>
          <w:tcPr>
            <w:tcW w:type="dxa" w:w="2160"/>
          </w:tcPr>
          <w:p>
            <w:r>
              <w:t>Test</w:t>
            </w:r>
          </w:p>
        </w:tc>
        <w:tc>
          <w:tcPr>
            <w:tcW w:type="dxa" w:w="2160"/>
          </w:tcPr>
          <w:p>
            <w:r>
              <w:t>Input</w:t>
            </w:r>
          </w:p>
        </w:tc>
        <w:tc>
          <w:tcPr>
            <w:tcW w:type="dxa" w:w="2160"/>
          </w:tcPr>
          <w:p>
            <w:r>
              <w:t>Expected result</w:t>
            </w:r>
          </w:p>
        </w:tc>
        <w:tc>
          <w:tcPr>
            <w:tcW w:type="dxa" w:w="2160"/>
          </w:tcPr>
          <w:p>
            <w:r>
              <w:t>Purpose</w:t>
            </w:r>
          </w:p>
        </w:tc>
      </w:tr>
      <w:tr>
        <w:tc>
          <w:tcPr>
            <w:tcW w:type="dxa" w:w="2160"/>
          </w:tcPr>
          <w:p>
            <w:r>
              <w:t>TC01</w:t>
            </w:r>
          </w:p>
        </w:tc>
        <w:tc>
          <w:tcPr>
            <w:tcW w:type="dxa" w:w="2160"/>
          </w:tcPr>
          <w:p>
            <w:r>
              <w:t>Valid provider + subject + model + active consent</w:t>
            </w:r>
          </w:p>
        </w:tc>
        <w:tc>
          <w:tcPr>
            <w:tcW w:type="dxa" w:w="2160"/>
          </w:tcPr>
          <w:p>
            <w:r>
              <w:t>ALLOW</w:t>
            </w:r>
          </w:p>
        </w:tc>
        <w:tc>
          <w:tcPr>
            <w:tcW w:type="dxa" w:w="2160"/>
          </w:tcPr>
          <w:p>
            <w:r>
              <w:t>Positive path</w:t>
            </w:r>
          </w:p>
        </w:tc>
      </w:tr>
      <w:tr>
        <w:tc>
          <w:tcPr>
            <w:tcW w:type="dxa" w:w="2160"/>
          </w:tcPr>
          <w:p>
            <w:r>
              <w:t>TC02</w:t>
            </w:r>
          </w:p>
        </w:tc>
        <w:tc>
          <w:tcPr>
            <w:tcW w:type="dxa" w:w="2160"/>
          </w:tcPr>
          <w:p>
            <w:r>
              <w:t>Different provider</w:t>
            </w:r>
          </w:p>
        </w:tc>
        <w:tc>
          <w:tcPr>
            <w:tcW w:type="dxa" w:w="2160"/>
          </w:tcPr>
          <w:p>
            <w:r>
              <w:t>REJECT</w:t>
            </w:r>
          </w:p>
        </w:tc>
        <w:tc>
          <w:tcPr>
            <w:tcW w:type="dxa" w:w="2160"/>
          </w:tcPr>
          <w:p>
            <w:r>
              <w:t>Authorization</w:t>
            </w:r>
          </w:p>
        </w:tc>
      </w:tr>
      <w:tr>
        <w:tc>
          <w:tcPr>
            <w:tcW w:type="dxa" w:w="2160"/>
          </w:tcPr>
          <w:p>
            <w:r>
              <w:t>TC03</w:t>
            </w:r>
          </w:p>
        </w:tc>
        <w:tc>
          <w:tcPr>
            <w:tcW w:type="dxa" w:w="2160"/>
          </w:tcPr>
          <w:p>
            <w:r>
              <w:t>Wrong model</w:t>
            </w:r>
          </w:p>
        </w:tc>
        <w:tc>
          <w:tcPr>
            <w:tcW w:type="dxa" w:w="2160"/>
          </w:tcPr>
          <w:p>
            <w:r>
              <w:t>REJECT</w:t>
            </w:r>
          </w:p>
        </w:tc>
        <w:tc>
          <w:tcPr>
            <w:tcW w:type="dxa" w:w="2160"/>
          </w:tcPr>
          <w:p>
            <w:r>
              <w:t>Scope enforcement</w:t>
            </w:r>
          </w:p>
        </w:tc>
      </w:tr>
      <w:tr>
        <w:tc>
          <w:tcPr>
            <w:tcW w:type="dxa" w:w="2160"/>
          </w:tcPr>
          <w:p>
            <w:r>
              <w:t>TC04</w:t>
            </w:r>
          </w:p>
        </w:tc>
        <w:tc>
          <w:tcPr>
            <w:tcW w:type="dxa" w:w="2160"/>
          </w:tcPr>
          <w:p>
            <w:r>
              <w:t>Revoked consent</w:t>
            </w:r>
          </w:p>
        </w:tc>
        <w:tc>
          <w:tcPr>
            <w:tcW w:type="dxa" w:w="2160"/>
          </w:tcPr>
          <w:p>
            <w:r>
              <w:t>REJECT</w:t>
            </w:r>
          </w:p>
        </w:tc>
        <w:tc>
          <w:tcPr>
            <w:tcW w:type="dxa" w:w="2160"/>
          </w:tcPr>
          <w:p>
            <w:r>
              <w:t>Withdrawal</w:t>
            </w:r>
          </w:p>
        </w:tc>
      </w:tr>
      <w:tr>
        <w:tc>
          <w:tcPr>
            <w:tcW w:type="dxa" w:w="2160"/>
          </w:tcPr>
          <w:p>
            <w:r>
              <w:t>TC05</w:t>
            </w:r>
          </w:p>
        </w:tc>
        <w:tc>
          <w:tcPr>
            <w:tcW w:type="dxa" w:w="2160"/>
          </w:tcPr>
          <w:p>
            <w:r>
              <w:t>Expired consent</w:t>
            </w:r>
          </w:p>
        </w:tc>
        <w:tc>
          <w:tcPr>
            <w:tcW w:type="dxa" w:w="2160"/>
          </w:tcPr>
          <w:p>
            <w:r>
              <w:t>REJECT</w:t>
            </w:r>
          </w:p>
        </w:tc>
        <w:tc>
          <w:tcPr>
            <w:tcW w:type="dxa" w:w="2160"/>
          </w:tcPr>
          <w:p>
            <w:r>
              <w:t>Expiry enforcement</w:t>
            </w:r>
          </w:p>
        </w:tc>
      </w:tr>
      <w:tr>
        <w:tc>
          <w:tcPr>
            <w:tcW w:type="dxa" w:w="2160"/>
          </w:tcPr>
          <w:p>
            <w:r>
              <w:t>TC06</w:t>
            </w:r>
          </w:p>
        </w:tc>
        <w:tc>
          <w:tcPr>
            <w:tcW w:type="dxa" w:w="2160"/>
          </w:tcPr>
          <w:p>
            <w:r>
              <w:t>Valid inference</w:t>
            </w:r>
          </w:p>
        </w:tc>
        <w:tc>
          <w:tcPr>
            <w:tcW w:type="dxa" w:w="2160"/>
          </w:tcPr>
          <w:p>
            <w:r>
              <w:t>Receipt generated</w:t>
            </w:r>
          </w:p>
        </w:tc>
        <w:tc>
          <w:tcPr>
            <w:tcW w:type="dxa" w:w="2160"/>
          </w:tcPr>
          <w:p>
            <w:r>
              <w:t>Auditability</w:t>
            </w:r>
          </w:p>
        </w:tc>
      </w:tr>
      <w:tr>
        <w:tc>
          <w:tcPr>
            <w:tcW w:type="dxa" w:w="2160"/>
          </w:tcPr>
          <w:p>
            <w:r>
              <w:t>TC07</w:t>
            </w:r>
          </w:p>
        </w:tc>
        <w:tc>
          <w:tcPr>
            <w:tcW w:type="dxa" w:w="2160"/>
          </w:tcPr>
          <w:p>
            <w:r>
              <w:t>Changed model digest</w:t>
            </w:r>
          </w:p>
        </w:tc>
        <w:tc>
          <w:tcPr>
            <w:tcW w:type="dxa" w:w="2160"/>
          </w:tcPr>
          <w:p>
            <w:r>
              <w:t>Digest mismatch detectable</w:t>
            </w:r>
          </w:p>
        </w:tc>
        <w:tc>
          <w:tcPr>
            <w:tcW w:type="dxa" w:w="2160"/>
          </w:tcPr>
          <w:p>
            <w:r>
              <w:t>Integrity</w:t>
            </w:r>
          </w:p>
        </w:tc>
      </w:tr>
    </w:tbl>
    <w:p>
      <w:pPr>
        <w:pStyle w:val="Heading1"/>
      </w:pPr>
      <w:r>
        <w:t>13. Limitations</w:t>
      </w:r>
    </w:p>
    <w:p>
      <w:pPr>
        <w:pStyle w:val="ListBullet"/>
      </w:pPr>
      <w:r>
        <w:t>Local H2 and Hardhat are development components, not production infrastructure.</w:t>
      </w:r>
    </w:p>
    <w:p>
      <w:pPr>
        <w:pStyle w:val="ListBullet"/>
      </w:pPr>
      <w:r>
        <w:t>Demo credentials are intentionally simple and must not be reused in production.</w:t>
      </w:r>
    </w:p>
    <w:p>
      <w:pPr>
        <w:pStyle w:val="ListBullet"/>
      </w:pPr>
      <w:r>
        <w:t>Blockchain transactions are not automatically equivalent to legal informed consent.</w:t>
      </w:r>
    </w:p>
    <w:p>
      <w:pPr>
        <w:pStyle w:val="ListBullet"/>
      </w:pPr>
      <w:r>
        <w:t>Off-chain deletion and legal retention requirements need separate controls.</w:t>
      </w:r>
    </w:p>
    <w:p>
      <w:pPr>
        <w:pStyle w:val="ListBullet"/>
      </w:pPr>
      <w:r>
        <w:t>The model is not clinical and has no medical validity.</w:t>
      </w:r>
    </w:p>
    <w:p>
      <w:pPr>
        <w:pStyle w:val="ListBullet"/>
      </w:pPr>
      <w:r>
        <w:t>A production system needs robust identity, authorization, encryption, monitoring, key management and compliance review.</w:t>
      </w:r>
    </w:p>
    <w:p>
      <w:pPr>
        <w:pStyle w:val="Heading1"/>
      </w:pPr>
      <w:r>
        <w:t>14. Conclusion</w:t>
      </w:r>
    </w:p>
    <w:p>
      <w:r>
        <w:t>The prototype demonstrates how consent enforcement and an immutable audit layer can be combined around an AI workflow while minimizing on-chain data. It gives a clear, testable demonstration of authorization, revocation, model integrity and inference receipts without using real healthcare information.</w:t>
      </w:r>
    </w:p>
    <w:p>
      <w:pPr>
        <w:pStyle w:val="Heading1"/>
      </w:pPr>
      <w:r>
        <w:t>15. Demo Credentials</w:t>
      </w:r>
    </w:p>
    <w:p>
      <w:r>
        <w:t>Patient: patient / patient123    |    Provider: provider / provider123    |    Admin: admin / admin123</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