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line="360" w:lineRule="auto"/>
        <w:jc w:val="center"/>
      </w:pPr>
      <w:r>
        <w:rPr>
          <w:rFonts w:ascii="Times New Roman" w:hAnsi="Times New Roman"/>
          <w:b/>
          <w:i w:val="0"/>
          <w:sz w:val="32"/>
        </w:rPr>
        <w:t>THREATSCOPE: MACHINE LEARNING-BASED BEHAVIORAL ANOMALY DETECTION FOR CYBERSECURITY</w:t>
      </w:r>
    </w:p>
    <w:p>
      <w:pPr>
        <w:spacing w:before="0" w:after="120" w:line="360" w:lineRule="auto"/>
        <w:jc w:val="center"/>
      </w:pPr>
      <w:r>
        <w:rPr>
          <w:rFonts w:ascii="Times New Roman" w:hAnsi="Times New Roman"/>
          <w:b/>
          <w:i w:val="0"/>
          <w:sz w:val="26"/>
        </w:rPr>
        <w:t>A PROJECT REPORT</w:t>
      </w:r>
    </w:p>
    <w:p>
      <w:pPr>
        <w:spacing w:before="0" w:after="240" w:line="360" w:lineRule="auto"/>
        <w:jc w:val="center"/>
      </w:pPr>
      <w:r>
        <w:rPr>
          <w:rFonts w:ascii="Times New Roman" w:hAnsi="Times New Roman"/>
          <w:b w:val="0"/>
          <w:i/>
          <w:sz w:val="22"/>
        </w:rPr>
        <w:t>Submitted in partial fulfillment of the requirements</w:t>
        <w:br/>
        <w:t>for the award of the degree of</w:t>
      </w:r>
    </w:p>
    <w:p>
      <w:pPr>
        <w:spacing w:before="0" w:after="480" w:line="360" w:lineRule="auto"/>
        <w:jc w:val="center"/>
      </w:pPr>
      <w:r>
        <w:rPr>
          <w:rFonts w:ascii="Times New Roman" w:hAnsi="Times New Roman"/>
          <w:b/>
          <w:i w:val="0"/>
          <w:sz w:val="26"/>
        </w:rPr>
        <w:t>BACHELOR OF TECHNOLOGY</w:t>
        <w:br/>
        <w:t>in</w:t>
        <w:br/>
        <w:t>COMPUTER SCIENCE AND ENGINEERING</w:t>
      </w:r>
    </w:p>
    <w:p>
      <w:pPr>
        <w:spacing w:before="0" w:after="120" w:line="360" w:lineRule="auto"/>
        <w:jc w:val="center"/>
      </w:pPr>
      <w:r>
        <w:rPr>
          <w:rFonts w:ascii="Times New Roman" w:hAnsi="Times New Roman"/>
          <w:b w:val="0"/>
          <w:i/>
          <w:sz w:val="22"/>
        </w:rPr>
        <w:t>by</w:t>
      </w:r>
    </w:p>
    <w:p>
      <w:pPr>
        <w:spacing w:before="0" w:after="480" w:line="360" w:lineRule="auto"/>
        <w:jc w:val="center"/>
      </w:pPr>
      <w:r>
        <w:rPr>
          <w:rFonts w:ascii="Times New Roman" w:hAnsi="Times New Roman"/>
          <w:b/>
          <w:i w:val="0"/>
          <w:sz w:val="24"/>
        </w:rPr>
        <w:t>SANJAI S</w:t>
        <w:br/>
        <w:t>(Register No: 21BCEXXXX)</w:t>
      </w:r>
    </w:p>
    <w:p>
      <w:pPr>
        <w:spacing w:before="0" w:after="120" w:line="360" w:lineRule="auto"/>
        <w:jc w:val="center"/>
      </w:pPr>
      <w:r>
        <w:rPr>
          <w:rFonts w:ascii="Times New Roman" w:hAnsi="Times New Roman"/>
          <w:b w:val="0"/>
          <w:i/>
          <w:sz w:val="22"/>
        </w:rPr>
        <w:t>Under the guidance of</w:t>
      </w:r>
    </w:p>
    <w:p>
      <w:pPr>
        <w:spacing w:before="0" w:after="720" w:line="360" w:lineRule="auto"/>
        <w:jc w:val="center"/>
      </w:pPr>
      <w:r>
        <w:rPr>
          <w:rFonts w:ascii="Times New Roman" w:hAnsi="Times New Roman"/>
          <w:b/>
          <w:i w:val="0"/>
          <w:sz w:val="24"/>
        </w:rPr>
        <w:t>DR. [FACULTY GUIDE NAME], Ph.D.</w:t>
        <w:br/>
        <w:t>Designation / Professor</w:t>
        <w:br/>
        <w:t>Department of Computer Science and Engineering</w:t>
      </w:r>
    </w:p>
    <w:p>
      <w:pPr>
        <w:spacing w:before="0" w:after="240" w:line="360" w:lineRule="auto"/>
        <w:jc w:val="center"/>
      </w:pPr>
      <w:r>
        <w:rPr>
          <w:rFonts w:ascii="Times New Roman" w:hAnsi="Times New Roman"/>
          <w:b/>
          <w:i w:val="0"/>
          <w:sz w:val="24"/>
        </w:rPr>
        <w:t>SCHOOL OF COMPUTER SCIENCE AND ENGINEERING (SCOPE)</w:t>
        <w:br/>
        <w:t>VELLORE INSTITUTE OF TECHNOLOGY</w:t>
        <w:br/>
        <w:t>VELLORE - 632 014, TAMIL NADU, INDIA</w:t>
      </w:r>
    </w:p>
    <w:p>
      <w:pPr>
        <w:spacing w:before="0" w:after="240" w:line="360" w:lineRule="auto"/>
        <w:jc w:val="center"/>
      </w:pPr>
      <w:r>
        <w:rPr>
          <w:rFonts w:ascii="Times New Roman" w:hAnsi="Times New Roman"/>
          <w:b/>
          <w:i w:val="0"/>
          <w:sz w:val="24"/>
        </w:rPr>
        <w:t>OCTOBER 2026</w:t>
      </w:r>
    </w:p>
    <w:p>
      <w:r>
        <w:br w:type="page"/>
      </w:r>
    </w:p>
    <w:p>
      <w:pPr>
        <w:spacing w:before="0" w:after="80" w:line="360" w:lineRule="auto"/>
        <w:jc w:val="center"/>
      </w:pPr>
      <w:r>
        <w:rPr>
          <w:rFonts w:ascii="Times New Roman" w:hAnsi="Times New Roman"/>
          <w:b/>
          <w:i w:val="0"/>
          <w:sz w:val="28"/>
        </w:rPr>
        <w:t>VELLORE INSTITUTE OF TECHNOLOGY</w:t>
      </w:r>
    </w:p>
    <w:p>
      <w:pPr>
        <w:spacing w:before="0" w:after="360" w:line="360" w:lineRule="auto"/>
        <w:jc w:val="center"/>
      </w:pPr>
      <w:r>
        <w:rPr>
          <w:rFonts w:ascii="Times New Roman" w:hAnsi="Times New Roman"/>
          <w:b/>
          <w:i w:val="0"/>
          <w:sz w:val="22"/>
        </w:rPr>
        <w:t>VELLORE - 632 014, INDIA</w:t>
      </w:r>
    </w:p>
    <w:p>
      <w:pPr>
        <w:spacing w:before="0" w:after="480" w:line="360" w:lineRule="auto"/>
        <w:jc w:val="center"/>
      </w:pPr>
      <w:r>
        <w:rPr>
          <w:rFonts w:ascii="Times New Roman" w:hAnsi="Times New Roman"/>
          <w:b/>
          <w:i w:val="0"/>
          <w:sz w:val="28"/>
        </w:rPr>
        <w:t>BONAFIDE CERTIFICATE</w:t>
      </w:r>
    </w:p>
    <w:p>
      <w:pPr>
        <w:spacing w:before="0" w:after="720" w:line="360" w:lineRule="auto"/>
        <w:jc w:val="both"/>
      </w:pPr>
      <w:r>
        <w:rPr>
          <w:rFonts w:ascii="Times New Roman" w:hAnsi="Times New Roman"/>
          <w:b w:val="0"/>
          <w:i w:val="0"/>
          <w:sz w:val="24"/>
        </w:rPr>
        <w:t>This is to certify that the project report entitled "THREATSCOPE: MACHINE LEARNING-BASED BEHAVIORAL ANOMALY DETECTION FOR CYBERSECURITY" is the bonafide work of SANJAI S (Reg. No: 21BCEXXXX), who carried out the project work under my supervision in partial fulfillment of the requirements for the award of the degree of Bachelor of Technology in Computer Science and Engineering at the School of Computer Science and Engineering (SCOPE), Vellore Institute of Technology, Vellore during the academic year 2026.</w:t>
      </w:r>
    </w:p>
    <w:tbl>
      <w:tblPr>
        <w:tblW w:type="auto" w:w="0"/>
        <w:jc w:val="center"/>
        <w:tblLook w:firstColumn="1" w:firstRow="1" w:lastColumn="0" w:lastRow="0" w:noHBand="0" w:noVBand="1" w:val="04A0"/>
      </w:tblPr>
      <w:tblGrid>
        <w:gridCol w:w="4500"/>
        <w:gridCol w:w="4500"/>
      </w:tblGrid>
      <w:tr>
        <w:tc>
          <w:tcPr>
            <w:tcW w:type="dxa" w:w="4320"/>
          </w:tcPr>
          <w:p>
            <w:r>
              <w:rPr>
                <w:b/>
              </w:rPr>
              <w:t>SIGNATURE OF GUIDE</w:t>
              <w:br/>
              <w:br/>
              <w:br/>
              <w:br/>
            </w:r>
            <w:r>
              <w:t>Dr. [Faculty Guide Name]</w:t>
              <w:br/>
              <w:t>Project Guide</w:t>
              <w:br/>
              <w:t>Department of CSE, SCOPE</w:t>
              <w:br/>
              <w:t>VIT, Vellore</w:t>
            </w:r>
          </w:p>
        </w:tc>
        <w:tc>
          <w:tcPr>
            <w:tcW w:type="dxa" w:w="4320"/>
          </w:tcPr>
          <w:p>
            <w:r>
              <w:rPr>
                <w:b/>
              </w:rPr>
              <w:t>SIGNATURE OF HEAD OF DEPARTMENT</w:t>
              <w:br/>
              <w:br/>
              <w:br/>
              <w:br/>
            </w:r>
            <w:r>
              <w:t>Dr. [HOD Name]</w:t>
              <w:br/>
              <w:t>Head of the Department</w:t>
              <w:br/>
              <w:t>Department of CSE, SCOPE</w:t>
              <w:br/>
              <w:t>VIT, Vellore</w:t>
            </w:r>
          </w:p>
        </w:tc>
      </w:tr>
      <w:tr>
        <w:tc>
          <w:tcPr>
            <w:tcW w:type="dxa" w:w="4500"/>
          </w:tcPr>
          <w:p/>
        </w:tc>
        <w:tc>
          <w:tcPr>
            <w:tcW w:type="dxa" w:w="4500"/>
          </w:tcPr>
          <w:p/>
        </w:tc>
      </w:tr>
    </w:tbl>
    <w:p>
      <w:pPr>
        <w:spacing w:before="720"/>
      </w:pPr>
      <w:r>
        <w:rPr>
          <w:sz w:val="22"/>
        </w:rPr>
        <w:t>Submitted for the Project Viva-Voce examination held on: ____________________</w:t>
        <w:br/>
        <w:br/>
      </w:r>
      <w:r>
        <w:rPr>
          <w:b/>
        </w:rPr>
        <w:t>INTERNAL EXAMINER                                      EXTERNAL EXAMINER</w:t>
      </w:r>
    </w:p>
    <w:p>
      <w:r>
        <w:br w:type="page"/>
      </w:r>
    </w:p>
    <w:p>
      <w:pPr>
        <w:spacing w:before="0" w:after="480" w:line="360" w:lineRule="auto"/>
        <w:jc w:val="center"/>
      </w:pPr>
      <w:r>
        <w:rPr>
          <w:rFonts w:ascii="Times New Roman" w:hAnsi="Times New Roman"/>
          <w:b/>
          <w:i w:val="0"/>
          <w:sz w:val="28"/>
        </w:rPr>
        <w:t>DECLARATION</w:t>
      </w:r>
    </w:p>
    <w:p>
      <w:pPr>
        <w:spacing w:before="0" w:after="360" w:line="360" w:lineRule="auto"/>
        <w:jc w:val="both"/>
      </w:pPr>
      <w:r>
        <w:rPr>
          <w:rFonts w:ascii="Times New Roman" w:hAnsi="Times New Roman"/>
          <w:b w:val="0"/>
          <w:i w:val="0"/>
          <w:sz w:val="24"/>
        </w:rPr>
        <w:t>I hereby declare that the project report entitled "THREATSCOPE: MACHINE LEARNING-BASED BEHAVIORAL ANOMALY DETECTION FOR CYBERSECURITY" submitted by me to the School of Computer Science and Engineering (SCOPE), Vellore Institute of Technology, Vellore, in partial fulfillment of the requirements for the award of the degree of Bachelor of Technology in Computer Science and Engineering, is a record of original and authentic work carried out by me under the supervision of Dr. [Faculty Guide Name].</w:t>
      </w:r>
    </w:p>
    <w:p>
      <w:pPr>
        <w:spacing w:before="0" w:after="720" w:line="360" w:lineRule="auto"/>
        <w:jc w:val="both"/>
      </w:pPr>
      <w:r>
        <w:rPr>
          <w:rFonts w:ascii="Times New Roman" w:hAnsi="Times New Roman"/>
          <w:b w:val="0"/>
          <w:i w:val="0"/>
          <w:sz w:val="24"/>
        </w:rPr>
        <w:t>I further declare that the work reported herein does not form part of any other thesis or dissertation on the basis of which a degree or award was conferred on an earlier occasion on this or any other candidate. The machine learning models, algorithms, experimental results, and implementations described in this report are genuine and have been validated through reproducible testing without fabrication or data leakage.</w:t>
      </w:r>
    </w:p>
    <w:p>
      <w:r>
        <w:rPr>
          <w:sz w:val="22"/>
        </w:rPr>
        <w:t>Place: Vellore</w:t>
        <w:br/>
        <w:t>Date: 26-10-2026</w:t>
        <w:br/>
        <w:br/>
        <w:br/>
        <w:br/>
      </w:r>
      <w:r>
        <w:rPr>
          <w:b/>
        </w:rPr>
        <w:t>SANJAI S</w:t>
        <w:br/>
        <w:t>Reg. No: 21BCEXXXX</w:t>
      </w:r>
    </w:p>
    <w:p>
      <w:r>
        <w:br w:type="page"/>
      </w:r>
    </w:p>
    <w:p>
      <w:pPr>
        <w:spacing w:before="0" w:after="480" w:line="360" w:lineRule="auto"/>
        <w:jc w:val="center"/>
      </w:pPr>
      <w:r>
        <w:rPr>
          <w:rFonts w:ascii="Times New Roman" w:hAnsi="Times New Roman"/>
          <w:b/>
          <w:i w:val="0"/>
          <w:sz w:val="28"/>
        </w:rPr>
        <w:t>ACKNOWLEDGEMENT</w:t>
      </w:r>
    </w:p>
    <w:p>
      <w:pPr>
        <w:spacing w:before="0" w:after="120" w:line="360" w:lineRule="auto"/>
        <w:jc w:val="both"/>
      </w:pPr>
      <w:r>
        <w:rPr>
          <w:rFonts w:ascii="Times New Roman" w:hAnsi="Times New Roman"/>
          <w:b w:val="0"/>
          <w:i w:val="0"/>
          <w:sz w:val="24"/>
        </w:rPr>
        <w:t>First and foremost, I express my profound gratitude to our Honorable Chancellor, Dr. G. Viswanathan, and the respected management of Vellore Institute of Technology for providing state-of-the-art infrastructural facilities and an academically enriching environment to pursue this project.</w:t>
      </w:r>
    </w:p>
    <w:p>
      <w:pPr>
        <w:spacing w:before="0" w:after="120" w:line="360" w:lineRule="auto"/>
        <w:jc w:val="both"/>
      </w:pPr>
      <w:r>
        <w:rPr>
          <w:rFonts w:ascii="Times New Roman" w:hAnsi="Times New Roman"/>
          <w:b w:val="0"/>
          <w:i w:val="0"/>
          <w:sz w:val="24"/>
        </w:rPr>
        <w:t>I express my sincere thanks to the Dean, School of Computer Science and Engineering (SCOPE), and the Head of the Department for their continuous encouragement, academic guidance, and support throughout the duration of this curriculum.</w:t>
      </w:r>
    </w:p>
    <w:p>
      <w:pPr>
        <w:spacing w:before="0" w:after="120" w:line="360" w:lineRule="auto"/>
        <w:jc w:val="both"/>
      </w:pPr>
      <w:r>
        <w:rPr>
          <w:rFonts w:ascii="Times New Roman" w:hAnsi="Times New Roman"/>
          <w:b w:val="0"/>
          <w:i w:val="0"/>
          <w:sz w:val="24"/>
        </w:rPr>
        <w:t>I am deeply indebted and express my heartfelt gratitude to my esteemed project guide, Dr. [Faculty Guide Name], Professor, School of Computer Science and Engineering, for their invaluable guidance, insightful suggestions, constant motivation, and constructive critiques that steered this research and implementation to fruition.</w:t>
      </w:r>
    </w:p>
    <w:p>
      <w:pPr>
        <w:spacing w:before="0" w:after="480" w:line="360" w:lineRule="auto"/>
        <w:jc w:val="both"/>
      </w:pPr>
      <w:r>
        <w:rPr>
          <w:rFonts w:ascii="Times New Roman" w:hAnsi="Times New Roman"/>
          <w:b w:val="0"/>
          <w:i w:val="0"/>
          <w:sz w:val="24"/>
        </w:rPr>
        <w:t>I also extend my sincere appreciation to the faculty members and technical staff of SCOPE for their direct and indirect assistance. Finally, I would like to thank my beloved parents, family members, and friends for their enduring encouragement, patience, and moral support throughout my academic journey.</w:t>
      </w:r>
    </w:p>
    <w:p>
      <w:pPr>
        <w:spacing w:before="0" w:after="120" w:line="360" w:lineRule="auto"/>
        <w:jc w:val="right"/>
      </w:pPr>
      <w:r>
        <w:rPr>
          <w:rFonts w:ascii="Times New Roman" w:hAnsi="Times New Roman"/>
          <w:b/>
          <w:i w:val="0"/>
          <w:sz w:val="24"/>
        </w:rPr>
        <w:t>SANJAI S</w:t>
      </w:r>
    </w:p>
    <w:p>
      <w:r>
        <w:br w:type="page"/>
      </w:r>
    </w:p>
    <w:p>
      <w:pPr>
        <w:spacing w:before="0" w:after="360" w:line="360" w:lineRule="auto"/>
        <w:jc w:val="center"/>
      </w:pPr>
      <w:r>
        <w:rPr>
          <w:rFonts w:ascii="Times New Roman" w:hAnsi="Times New Roman"/>
          <w:b/>
          <w:i w:val="0"/>
          <w:sz w:val="28"/>
        </w:rPr>
        <w:t>ABSTRACT</w:t>
      </w:r>
    </w:p>
    <w:p>
      <w:pPr>
        <w:spacing w:before="0" w:after="120" w:line="360" w:lineRule="auto"/>
        <w:jc w:val="both"/>
      </w:pPr>
      <w:r>
        <w:rPr>
          <w:rFonts w:ascii="Times New Roman" w:hAnsi="Times New Roman"/>
          <w:b w:val="0"/>
          <w:i w:val="0"/>
          <w:sz w:val="24"/>
        </w:rPr>
        <w:t>Modern cybersecurity architectures are confronted with unprecedented volumes of sophisticated cyber threats, polymorphic malware, and zero-day intrusions. Traditional Network Intrusion Detection Systems (NIDS) predominantly rely on static signature matching, rendering them inherently vulnerable to unseen attack patterns. Conversely, supervised machine learning techniques suffer from severe class imbalance and fail to generalize beyond predefined attack classes. To mitigate these critical limitations, this project presents ThreatScope, an end-to-end, behavioral anomaly detection system powered by an unsupervised Isolation Forest architecture.</w:t>
      </w:r>
    </w:p>
    <w:p>
      <w:pPr>
        <w:spacing w:before="0" w:after="120" w:line="360" w:lineRule="auto"/>
        <w:jc w:val="both"/>
      </w:pPr>
      <w:r>
        <w:rPr>
          <w:rFonts w:ascii="Times New Roman" w:hAnsi="Times New Roman"/>
          <w:b w:val="0"/>
          <w:i w:val="0"/>
          <w:sz w:val="24"/>
        </w:rPr>
        <w:t>ThreatScope is engineered from scratch without relying on pre-trained weights or hybrid supervised classifiers. The core engine models normal network behavior and isolates anomalous instances based on feature-space deviations, exploiting the property that intrusions are statistically few and different. The system enforces a strict data leakage prevention protocol wherein all preprocessing parameters (missing value imputation, infinite value sanitization, constant feature pruning, and standardization) are fitted exclusively on training flows and frozen. For evaluation, the platform calculates verified, un-fabricated performance metrics (Accuracy, Precision, Recall, F1-Score, False-Positive Rate, and a full Confusion Matrix) evaluated strictly on separate, held-out test partitions using benchmark cybersecurity datasets such as CIC-IDS2017 and UNSW-NB15.</w:t>
      </w:r>
    </w:p>
    <w:p>
      <w:pPr>
        <w:spacing w:before="0" w:after="360" w:line="360" w:lineRule="auto"/>
        <w:jc w:val="both"/>
      </w:pPr>
      <w:r>
        <w:rPr>
          <w:rFonts w:ascii="Times New Roman" w:hAnsi="Times New Roman"/>
          <w:b w:val="0"/>
          <w:i w:val="0"/>
          <w:sz w:val="24"/>
        </w:rPr>
        <w:t>Additionally, ThreatScope introduces an adaptive threshold research experiment that empirically investigates whether tuning decision boundaries on validation data improves held-out test detection over standard fixed cutoffs. The platform is realized as a full-stack, enterprise-grade system comprising a high-performance FastAPI async backend, an SQLite relational persistence layer with Joblib artifact versioning, and a reactive, modern SOC dashboard developed in React 19, TypeScript, and Tailwind CSS. The entire implementation is validated by a 13-suite automated Pytest test harness achieving 100% pass rates.</w:t>
      </w:r>
    </w:p>
    <w:p>
      <w:pPr>
        <w:spacing w:before="0" w:after="120" w:line="360" w:lineRule="auto"/>
        <w:jc w:val="both"/>
      </w:pPr>
      <w:r>
        <w:rPr>
          <w:rFonts w:ascii="Times New Roman" w:hAnsi="Times New Roman"/>
          <w:b/>
          <w:i w:val="0"/>
          <w:sz w:val="22"/>
        </w:rPr>
        <w:t>Keywords: Cybersecurity, Network Intrusion Detection System (NIDS), Behavioral Anomaly Detection, Isolation Forest, Unsupervised Machine Learning, Data Leakage Prevention, CIC-IDS2017, FastAPI, React 19.</w:t>
      </w:r>
    </w:p>
    <w:p>
      <w:r>
        <w:br w:type="page"/>
      </w:r>
    </w:p>
    <w:p>
      <w:pPr>
        <w:spacing w:before="0" w:after="360" w:line="360" w:lineRule="auto"/>
        <w:jc w:val="center"/>
      </w:pPr>
      <w:r>
        <w:rPr>
          <w:rFonts w:ascii="Times New Roman" w:hAnsi="Times New Roman"/>
          <w:b/>
          <w:i w:val="0"/>
          <w:sz w:val="28"/>
        </w:rPr>
        <w:t>TABLE OF CONTENTS</w:t>
      </w:r>
    </w:p>
    <w:tbl>
      <w:tblPr>
        <w:tblW w:type="auto" w:w="0"/>
        <w:jc w:val="center"/>
        <w:tblLook w:firstColumn="1" w:firstRow="1" w:lastColumn="0" w:lastRow="0" w:noHBand="0" w:noVBand="1" w:val="04A0"/>
      </w:tblPr>
      <w:tblGrid>
        <w:gridCol w:w="4500"/>
        <w:gridCol w:w="4500"/>
      </w:tblGrid>
      <w:tr>
        <w:tc>
          <w:tcPr>
            <w:tcW w:type="dxa" w:w="7488"/>
          </w:tcPr>
          <w:p>
            <w:pPr>
              <w:spacing w:line="276" w:lineRule="auto" w:after="40"/>
            </w:pPr>
            <w:r>
              <w:rPr>
                <w:b/>
                <w:sz w:val="22"/>
              </w:rPr>
              <w:t>BONAFIDE CERTIFICATE</w:t>
            </w:r>
          </w:p>
        </w:tc>
        <w:tc>
          <w:tcPr>
            <w:tcW w:type="dxa" w:w="1152"/>
          </w:tcPr>
          <w:p>
            <w:pPr>
              <w:spacing w:line="276" w:lineRule="auto" w:after="40"/>
              <w:jc w:val="right"/>
            </w:pPr>
            <w:r>
              <w:rPr>
                <w:sz w:val="22"/>
              </w:rPr>
              <w:t>ii</w:t>
            </w:r>
          </w:p>
        </w:tc>
      </w:tr>
      <w:tr>
        <w:tc>
          <w:tcPr>
            <w:tcW w:type="dxa" w:w="7488"/>
          </w:tcPr>
          <w:p>
            <w:pPr>
              <w:spacing w:line="276" w:lineRule="auto" w:after="40"/>
            </w:pPr>
            <w:r>
              <w:rPr>
                <w:b/>
                <w:sz w:val="22"/>
              </w:rPr>
              <w:t>DECLARATION</w:t>
            </w:r>
          </w:p>
        </w:tc>
        <w:tc>
          <w:tcPr>
            <w:tcW w:type="dxa" w:w="1152"/>
          </w:tcPr>
          <w:p>
            <w:pPr>
              <w:spacing w:line="276" w:lineRule="auto" w:after="40"/>
              <w:jc w:val="right"/>
            </w:pPr>
            <w:r>
              <w:rPr>
                <w:sz w:val="22"/>
              </w:rPr>
              <w:t>iii</w:t>
            </w:r>
          </w:p>
        </w:tc>
      </w:tr>
      <w:tr>
        <w:tc>
          <w:tcPr>
            <w:tcW w:type="dxa" w:w="7488"/>
          </w:tcPr>
          <w:p>
            <w:pPr>
              <w:spacing w:line="276" w:lineRule="auto" w:after="40"/>
            </w:pPr>
            <w:r>
              <w:rPr>
                <w:b/>
                <w:sz w:val="22"/>
              </w:rPr>
              <w:t>ACKNOWLEDGEMENT</w:t>
            </w:r>
          </w:p>
        </w:tc>
        <w:tc>
          <w:tcPr>
            <w:tcW w:type="dxa" w:w="1152"/>
          </w:tcPr>
          <w:p>
            <w:pPr>
              <w:spacing w:line="276" w:lineRule="auto" w:after="40"/>
              <w:jc w:val="right"/>
            </w:pPr>
            <w:r>
              <w:rPr>
                <w:sz w:val="22"/>
              </w:rPr>
              <w:t>iv</w:t>
            </w:r>
          </w:p>
        </w:tc>
      </w:tr>
      <w:tr>
        <w:tc>
          <w:tcPr>
            <w:tcW w:type="dxa" w:w="7488"/>
          </w:tcPr>
          <w:p>
            <w:pPr>
              <w:spacing w:line="276" w:lineRule="auto" w:after="40"/>
            </w:pPr>
            <w:r>
              <w:rPr>
                <w:b/>
                <w:sz w:val="22"/>
              </w:rPr>
              <w:t>ABSTRACT</w:t>
            </w:r>
          </w:p>
        </w:tc>
        <w:tc>
          <w:tcPr>
            <w:tcW w:type="dxa" w:w="1152"/>
          </w:tcPr>
          <w:p>
            <w:pPr>
              <w:spacing w:line="276" w:lineRule="auto" w:after="40"/>
              <w:jc w:val="right"/>
            </w:pPr>
            <w:r>
              <w:rPr>
                <w:sz w:val="22"/>
              </w:rPr>
              <w:t>v</w:t>
            </w:r>
          </w:p>
        </w:tc>
      </w:tr>
      <w:tr>
        <w:tc>
          <w:tcPr>
            <w:tcW w:type="dxa" w:w="7488"/>
          </w:tcPr>
          <w:p>
            <w:pPr>
              <w:spacing w:line="276" w:lineRule="auto" w:after="40"/>
            </w:pPr>
            <w:r>
              <w:rPr>
                <w:b/>
                <w:sz w:val="22"/>
              </w:rPr>
              <w:t>LIST OF FIGURES</w:t>
            </w:r>
          </w:p>
        </w:tc>
        <w:tc>
          <w:tcPr>
            <w:tcW w:type="dxa" w:w="1152"/>
          </w:tcPr>
          <w:p>
            <w:pPr>
              <w:spacing w:line="276" w:lineRule="auto" w:after="40"/>
              <w:jc w:val="right"/>
            </w:pPr>
            <w:r>
              <w:rPr>
                <w:sz w:val="22"/>
              </w:rPr>
              <w:t>viii</w:t>
            </w:r>
          </w:p>
        </w:tc>
      </w:tr>
      <w:tr>
        <w:tc>
          <w:tcPr>
            <w:tcW w:type="dxa" w:w="7488"/>
          </w:tcPr>
          <w:p>
            <w:pPr>
              <w:spacing w:line="276" w:lineRule="auto" w:after="40"/>
            </w:pPr>
            <w:r>
              <w:rPr>
                <w:b/>
                <w:sz w:val="22"/>
              </w:rPr>
              <w:t>LIST OF TABLES</w:t>
            </w:r>
          </w:p>
        </w:tc>
        <w:tc>
          <w:tcPr>
            <w:tcW w:type="dxa" w:w="1152"/>
          </w:tcPr>
          <w:p>
            <w:pPr>
              <w:spacing w:line="276" w:lineRule="auto" w:after="40"/>
              <w:jc w:val="right"/>
            </w:pPr>
            <w:r>
              <w:rPr>
                <w:sz w:val="22"/>
              </w:rPr>
              <w:t>ix</w:t>
            </w:r>
          </w:p>
        </w:tc>
      </w:tr>
      <w:tr>
        <w:tc>
          <w:tcPr>
            <w:tcW w:type="dxa" w:w="7488"/>
          </w:tcPr>
          <w:p>
            <w:pPr>
              <w:spacing w:line="276" w:lineRule="auto" w:after="40"/>
            </w:pPr>
            <w:r>
              <w:rPr>
                <w:b/>
                <w:sz w:val="22"/>
              </w:rPr>
              <w:t>CHAPTER 1: INTRODUCTION</w:t>
            </w:r>
          </w:p>
        </w:tc>
        <w:tc>
          <w:tcPr>
            <w:tcW w:type="dxa" w:w="1152"/>
          </w:tcPr>
          <w:p>
            <w:pPr>
              <w:spacing w:line="276" w:lineRule="auto" w:after="40"/>
              <w:jc w:val="right"/>
            </w:pPr>
            <w:r>
              <w:rPr>
                <w:sz w:val="22"/>
              </w:rPr>
              <w:t>1</w:t>
            </w:r>
          </w:p>
        </w:tc>
      </w:tr>
      <w:tr>
        <w:tc>
          <w:tcPr>
            <w:tcW w:type="dxa" w:w="7488"/>
          </w:tcPr>
          <w:p>
            <w:pPr>
              <w:spacing w:line="276" w:lineRule="auto" w:after="40"/>
            </w:pPr>
            <w:r>
              <w:rPr>
                <w:sz w:val="22"/>
              </w:rPr>
              <w:t xml:space="preserve">    1.1 Background &amp; Overview</w:t>
            </w:r>
          </w:p>
        </w:tc>
        <w:tc>
          <w:tcPr>
            <w:tcW w:type="dxa" w:w="1152"/>
          </w:tcPr>
          <w:p>
            <w:pPr>
              <w:spacing w:line="276" w:lineRule="auto" w:after="40"/>
              <w:jc w:val="right"/>
            </w:pPr>
            <w:r>
              <w:rPr>
                <w:sz w:val="22"/>
              </w:rPr>
              <w:t>1</w:t>
            </w:r>
          </w:p>
        </w:tc>
      </w:tr>
      <w:tr>
        <w:tc>
          <w:tcPr>
            <w:tcW w:type="dxa" w:w="7488"/>
          </w:tcPr>
          <w:p>
            <w:pPr>
              <w:spacing w:line="276" w:lineRule="auto" w:after="40"/>
            </w:pPr>
            <w:r>
              <w:rPr>
                <w:sz w:val="22"/>
              </w:rPr>
              <w:t xml:space="preserve">    1.2 Problem Statement</w:t>
            </w:r>
          </w:p>
        </w:tc>
        <w:tc>
          <w:tcPr>
            <w:tcW w:type="dxa" w:w="1152"/>
          </w:tcPr>
          <w:p>
            <w:pPr>
              <w:spacing w:line="276" w:lineRule="auto" w:after="40"/>
              <w:jc w:val="right"/>
            </w:pPr>
            <w:r>
              <w:rPr>
                <w:sz w:val="22"/>
              </w:rPr>
              <w:t>2</w:t>
            </w:r>
          </w:p>
        </w:tc>
      </w:tr>
      <w:tr>
        <w:tc>
          <w:tcPr>
            <w:tcW w:type="dxa" w:w="7488"/>
          </w:tcPr>
          <w:p>
            <w:pPr>
              <w:spacing w:line="276" w:lineRule="auto" w:after="40"/>
            </w:pPr>
            <w:r>
              <w:rPr>
                <w:sz w:val="22"/>
              </w:rPr>
              <w:t xml:space="preserve">    1.3 Project Objectives</w:t>
            </w:r>
          </w:p>
        </w:tc>
        <w:tc>
          <w:tcPr>
            <w:tcW w:type="dxa" w:w="1152"/>
          </w:tcPr>
          <w:p>
            <w:pPr>
              <w:spacing w:line="276" w:lineRule="auto" w:after="40"/>
              <w:jc w:val="right"/>
            </w:pPr>
            <w:r>
              <w:rPr>
                <w:sz w:val="22"/>
              </w:rPr>
              <w:t>3</w:t>
            </w:r>
          </w:p>
        </w:tc>
      </w:tr>
      <w:tr>
        <w:tc>
          <w:tcPr>
            <w:tcW w:type="dxa" w:w="7488"/>
          </w:tcPr>
          <w:p>
            <w:pPr>
              <w:spacing w:line="276" w:lineRule="auto" w:after="40"/>
            </w:pPr>
            <w:r>
              <w:rPr>
                <w:sz w:val="22"/>
              </w:rPr>
              <w:t xml:space="preserve">    1.4 Scope and Significance</w:t>
            </w:r>
          </w:p>
        </w:tc>
        <w:tc>
          <w:tcPr>
            <w:tcW w:type="dxa" w:w="1152"/>
          </w:tcPr>
          <w:p>
            <w:pPr>
              <w:spacing w:line="276" w:lineRule="auto" w:after="40"/>
              <w:jc w:val="right"/>
            </w:pPr>
            <w:r>
              <w:rPr>
                <w:sz w:val="22"/>
              </w:rPr>
              <w:t>4</w:t>
            </w:r>
          </w:p>
        </w:tc>
      </w:tr>
      <w:tr>
        <w:tc>
          <w:tcPr>
            <w:tcW w:type="dxa" w:w="7488"/>
          </w:tcPr>
          <w:p>
            <w:pPr>
              <w:spacing w:line="276" w:lineRule="auto" w:after="40"/>
            </w:pPr>
            <w:r>
              <w:rPr>
                <w:b/>
                <w:sz w:val="22"/>
              </w:rPr>
              <w:t>CHAPTER 2: LITERATURE SURVEY</w:t>
            </w:r>
          </w:p>
        </w:tc>
        <w:tc>
          <w:tcPr>
            <w:tcW w:type="dxa" w:w="1152"/>
          </w:tcPr>
          <w:p>
            <w:pPr>
              <w:spacing w:line="276" w:lineRule="auto" w:after="40"/>
              <w:jc w:val="right"/>
            </w:pPr>
            <w:r>
              <w:rPr>
                <w:sz w:val="22"/>
              </w:rPr>
              <w:t>5</w:t>
            </w:r>
          </w:p>
        </w:tc>
      </w:tr>
      <w:tr>
        <w:tc>
          <w:tcPr>
            <w:tcW w:type="dxa" w:w="7488"/>
          </w:tcPr>
          <w:p>
            <w:pPr>
              <w:spacing w:line="276" w:lineRule="auto" w:after="40"/>
            </w:pPr>
            <w:r>
              <w:rPr>
                <w:sz w:val="22"/>
              </w:rPr>
              <w:t xml:space="preserve">    2.1 Signature-Based Intrusion Detection Systems</w:t>
            </w:r>
          </w:p>
        </w:tc>
        <w:tc>
          <w:tcPr>
            <w:tcW w:type="dxa" w:w="1152"/>
          </w:tcPr>
          <w:p>
            <w:pPr>
              <w:spacing w:line="276" w:lineRule="auto" w:after="40"/>
              <w:jc w:val="right"/>
            </w:pPr>
            <w:r>
              <w:rPr>
                <w:sz w:val="22"/>
              </w:rPr>
              <w:t>5</w:t>
            </w:r>
          </w:p>
        </w:tc>
      </w:tr>
      <w:tr>
        <w:tc>
          <w:tcPr>
            <w:tcW w:type="dxa" w:w="7488"/>
          </w:tcPr>
          <w:p>
            <w:pPr>
              <w:spacing w:line="276" w:lineRule="auto" w:after="40"/>
            </w:pPr>
            <w:r>
              <w:rPr>
                <w:sz w:val="22"/>
              </w:rPr>
              <w:t xml:space="preserve">    2.2 Supervised Machine Learning in Cybersecurity</w:t>
            </w:r>
          </w:p>
        </w:tc>
        <w:tc>
          <w:tcPr>
            <w:tcW w:type="dxa" w:w="1152"/>
          </w:tcPr>
          <w:p>
            <w:pPr>
              <w:spacing w:line="276" w:lineRule="auto" w:after="40"/>
              <w:jc w:val="right"/>
            </w:pPr>
            <w:r>
              <w:rPr>
                <w:sz w:val="22"/>
              </w:rPr>
              <w:t>6</w:t>
            </w:r>
          </w:p>
        </w:tc>
      </w:tr>
      <w:tr>
        <w:tc>
          <w:tcPr>
            <w:tcW w:type="dxa" w:w="7488"/>
          </w:tcPr>
          <w:p>
            <w:pPr>
              <w:spacing w:line="276" w:lineRule="auto" w:after="40"/>
            </w:pPr>
            <w:r>
              <w:rPr>
                <w:sz w:val="22"/>
              </w:rPr>
              <w:t xml:space="preserve">    2.3 Unsupervised Anomaly Detection Paradigms</w:t>
            </w:r>
          </w:p>
        </w:tc>
        <w:tc>
          <w:tcPr>
            <w:tcW w:type="dxa" w:w="1152"/>
          </w:tcPr>
          <w:p>
            <w:pPr>
              <w:spacing w:line="276" w:lineRule="auto" w:after="40"/>
              <w:jc w:val="right"/>
            </w:pPr>
            <w:r>
              <w:rPr>
                <w:sz w:val="22"/>
              </w:rPr>
              <w:t>7</w:t>
            </w:r>
          </w:p>
        </w:tc>
      </w:tr>
      <w:tr>
        <w:tc>
          <w:tcPr>
            <w:tcW w:type="dxa" w:w="7488"/>
          </w:tcPr>
          <w:p>
            <w:pPr>
              <w:spacing w:line="276" w:lineRule="auto" w:after="40"/>
            </w:pPr>
            <w:r>
              <w:rPr>
                <w:sz w:val="22"/>
              </w:rPr>
              <w:t xml:space="preserve">    2.4 Research Gaps and Challenges Identified</w:t>
            </w:r>
          </w:p>
        </w:tc>
        <w:tc>
          <w:tcPr>
            <w:tcW w:type="dxa" w:w="1152"/>
          </w:tcPr>
          <w:p>
            <w:pPr>
              <w:spacing w:line="276" w:lineRule="auto" w:after="40"/>
              <w:jc w:val="right"/>
            </w:pPr>
            <w:r>
              <w:rPr>
                <w:sz w:val="22"/>
              </w:rPr>
              <w:t>8</w:t>
            </w:r>
          </w:p>
        </w:tc>
      </w:tr>
      <w:tr>
        <w:tc>
          <w:tcPr>
            <w:tcW w:type="dxa" w:w="7488"/>
          </w:tcPr>
          <w:p>
            <w:pPr>
              <w:spacing w:line="276" w:lineRule="auto" w:after="40"/>
            </w:pPr>
            <w:r>
              <w:rPr>
                <w:b/>
                <w:sz w:val="22"/>
              </w:rPr>
              <w:t>CHAPTER 3: SYSTEM REQUIREMENTS AND ARCHITECTURE</w:t>
            </w:r>
          </w:p>
        </w:tc>
        <w:tc>
          <w:tcPr>
            <w:tcW w:type="dxa" w:w="1152"/>
          </w:tcPr>
          <w:p>
            <w:pPr>
              <w:spacing w:line="276" w:lineRule="auto" w:after="40"/>
              <w:jc w:val="right"/>
            </w:pPr>
            <w:r>
              <w:rPr>
                <w:sz w:val="22"/>
              </w:rPr>
              <w:t>9</w:t>
            </w:r>
          </w:p>
        </w:tc>
      </w:tr>
      <w:tr>
        <w:tc>
          <w:tcPr>
            <w:tcW w:type="dxa" w:w="7488"/>
          </w:tcPr>
          <w:p>
            <w:pPr>
              <w:spacing w:line="276" w:lineRule="auto" w:after="40"/>
            </w:pPr>
            <w:r>
              <w:rPr>
                <w:sz w:val="22"/>
              </w:rPr>
              <w:t xml:space="preserve">    3.1 Hardware Requirements</w:t>
            </w:r>
          </w:p>
        </w:tc>
        <w:tc>
          <w:tcPr>
            <w:tcW w:type="dxa" w:w="1152"/>
          </w:tcPr>
          <w:p>
            <w:pPr>
              <w:spacing w:line="276" w:lineRule="auto" w:after="40"/>
              <w:jc w:val="right"/>
            </w:pPr>
            <w:r>
              <w:rPr>
                <w:sz w:val="22"/>
              </w:rPr>
              <w:t>9</w:t>
            </w:r>
          </w:p>
        </w:tc>
      </w:tr>
      <w:tr>
        <w:tc>
          <w:tcPr>
            <w:tcW w:type="dxa" w:w="7488"/>
          </w:tcPr>
          <w:p>
            <w:pPr>
              <w:spacing w:line="276" w:lineRule="auto" w:after="40"/>
            </w:pPr>
            <w:r>
              <w:rPr>
                <w:sz w:val="22"/>
              </w:rPr>
              <w:t xml:space="preserve">    3.2 Software Specification &amp; Tech Stack</w:t>
            </w:r>
          </w:p>
        </w:tc>
        <w:tc>
          <w:tcPr>
            <w:tcW w:type="dxa" w:w="1152"/>
          </w:tcPr>
          <w:p>
            <w:pPr>
              <w:spacing w:line="276" w:lineRule="auto" w:after="40"/>
              <w:jc w:val="right"/>
            </w:pPr>
            <w:r>
              <w:rPr>
                <w:sz w:val="22"/>
              </w:rPr>
              <w:t>9</w:t>
            </w:r>
          </w:p>
        </w:tc>
      </w:tr>
      <w:tr>
        <w:tc>
          <w:tcPr>
            <w:tcW w:type="dxa" w:w="7488"/>
          </w:tcPr>
          <w:p>
            <w:pPr>
              <w:spacing w:line="276" w:lineRule="auto" w:after="40"/>
            </w:pPr>
            <w:r>
              <w:rPr>
                <w:sz w:val="22"/>
              </w:rPr>
              <w:t xml:space="preserve">    3.3 Multi-Tier System Architecture</w:t>
            </w:r>
          </w:p>
        </w:tc>
        <w:tc>
          <w:tcPr>
            <w:tcW w:type="dxa" w:w="1152"/>
          </w:tcPr>
          <w:p>
            <w:pPr>
              <w:spacing w:line="276" w:lineRule="auto" w:after="40"/>
              <w:jc w:val="right"/>
            </w:pPr>
            <w:r>
              <w:rPr>
                <w:sz w:val="22"/>
              </w:rPr>
              <w:t>10</w:t>
            </w:r>
          </w:p>
        </w:tc>
      </w:tr>
      <w:tr>
        <w:tc>
          <w:tcPr>
            <w:tcW w:type="dxa" w:w="7488"/>
          </w:tcPr>
          <w:p>
            <w:pPr>
              <w:spacing w:line="276" w:lineRule="auto" w:after="40"/>
            </w:pPr>
            <w:r>
              <w:rPr>
                <w:sz w:val="22"/>
              </w:rPr>
              <w:t xml:space="preserve">    3.4 Functional Requirements</w:t>
            </w:r>
          </w:p>
        </w:tc>
        <w:tc>
          <w:tcPr>
            <w:tcW w:type="dxa" w:w="1152"/>
          </w:tcPr>
          <w:p>
            <w:pPr>
              <w:spacing w:line="276" w:lineRule="auto" w:after="40"/>
              <w:jc w:val="right"/>
            </w:pPr>
            <w:r>
              <w:rPr>
                <w:sz w:val="22"/>
              </w:rPr>
              <w:t>11</w:t>
            </w:r>
          </w:p>
        </w:tc>
      </w:tr>
      <w:tr>
        <w:tc>
          <w:tcPr>
            <w:tcW w:type="dxa" w:w="7488"/>
          </w:tcPr>
          <w:p>
            <w:pPr>
              <w:spacing w:line="276" w:lineRule="auto" w:after="40"/>
            </w:pPr>
            <w:r>
              <w:rPr>
                <w:sz w:val="22"/>
              </w:rPr>
              <w:t xml:space="preserve">    3.5 Non-Functional Requirements</w:t>
            </w:r>
          </w:p>
        </w:tc>
        <w:tc>
          <w:tcPr>
            <w:tcW w:type="dxa" w:w="1152"/>
          </w:tcPr>
          <w:p>
            <w:pPr>
              <w:spacing w:line="276" w:lineRule="auto" w:after="40"/>
              <w:jc w:val="right"/>
            </w:pPr>
            <w:r>
              <w:rPr>
                <w:sz w:val="22"/>
              </w:rPr>
              <w:t>12</w:t>
            </w:r>
          </w:p>
        </w:tc>
      </w:tr>
      <w:tr>
        <w:tc>
          <w:tcPr>
            <w:tcW w:type="dxa" w:w="7488"/>
          </w:tcPr>
          <w:p>
            <w:pPr>
              <w:spacing w:line="276" w:lineRule="auto" w:after="40"/>
            </w:pPr>
            <w:r>
              <w:rPr>
                <w:b/>
                <w:sz w:val="22"/>
              </w:rPr>
              <w:t>CHAPTER 4: DESIGN AND METHODOLOGY</w:t>
            </w:r>
          </w:p>
        </w:tc>
        <w:tc>
          <w:tcPr>
            <w:tcW w:type="dxa" w:w="1152"/>
          </w:tcPr>
          <w:p>
            <w:pPr>
              <w:spacing w:line="276" w:lineRule="auto" w:after="40"/>
              <w:jc w:val="right"/>
            </w:pPr>
            <w:r>
              <w:rPr>
                <w:sz w:val="22"/>
              </w:rPr>
              <w:t>13</w:t>
            </w:r>
          </w:p>
        </w:tc>
      </w:tr>
      <w:tr>
        <w:tc>
          <w:tcPr>
            <w:tcW w:type="dxa" w:w="7488"/>
          </w:tcPr>
          <w:p>
            <w:pPr>
              <w:spacing w:line="276" w:lineRule="auto" w:after="40"/>
            </w:pPr>
            <w:r>
              <w:rPr>
                <w:sz w:val="22"/>
              </w:rPr>
              <w:t xml:space="preserve">    4.1 Network Flow Dataset Characteristics (CIC-IDS2017 / UNSW-NB15)</w:t>
            </w:r>
          </w:p>
        </w:tc>
        <w:tc>
          <w:tcPr>
            <w:tcW w:type="dxa" w:w="1152"/>
          </w:tcPr>
          <w:p>
            <w:pPr>
              <w:spacing w:line="276" w:lineRule="auto" w:after="40"/>
              <w:jc w:val="right"/>
            </w:pPr>
            <w:r>
              <w:rPr>
                <w:sz w:val="22"/>
              </w:rPr>
              <w:t>13</w:t>
            </w:r>
          </w:p>
        </w:tc>
      </w:tr>
      <w:tr>
        <w:tc>
          <w:tcPr>
            <w:tcW w:type="dxa" w:w="7488"/>
          </w:tcPr>
          <w:p>
            <w:pPr>
              <w:spacing w:line="276" w:lineRule="auto" w:after="40"/>
            </w:pPr>
            <w:r>
              <w:rPr>
                <w:sz w:val="22"/>
              </w:rPr>
              <w:t xml:space="preserve">    4.2 Preprocessing Engine and Leakage Prevention Protocol</w:t>
            </w:r>
          </w:p>
        </w:tc>
        <w:tc>
          <w:tcPr>
            <w:tcW w:type="dxa" w:w="1152"/>
          </w:tcPr>
          <w:p>
            <w:pPr>
              <w:spacing w:line="276" w:lineRule="auto" w:after="40"/>
              <w:jc w:val="right"/>
            </w:pPr>
            <w:r>
              <w:rPr>
                <w:sz w:val="22"/>
              </w:rPr>
              <w:t>14</w:t>
            </w:r>
          </w:p>
        </w:tc>
      </w:tr>
      <w:tr>
        <w:tc>
          <w:tcPr>
            <w:tcW w:type="dxa" w:w="7488"/>
          </w:tcPr>
          <w:p>
            <w:pPr>
              <w:spacing w:line="276" w:lineRule="auto" w:after="40"/>
            </w:pPr>
            <w:r>
              <w:rPr>
                <w:sz w:val="22"/>
              </w:rPr>
              <w:t xml:space="preserve">    4.3 Mathematical Formulation of Isolation Forest</w:t>
            </w:r>
          </w:p>
        </w:tc>
        <w:tc>
          <w:tcPr>
            <w:tcW w:type="dxa" w:w="1152"/>
          </w:tcPr>
          <w:p>
            <w:pPr>
              <w:spacing w:line="276" w:lineRule="auto" w:after="40"/>
              <w:jc w:val="right"/>
            </w:pPr>
            <w:r>
              <w:rPr>
                <w:sz w:val="22"/>
              </w:rPr>
              <w:t>15</w:t>
            </w:r>
          </w:p>
        </w:tc>
      </w:tr>
      <w:tr>
        <w:tc>
          <w:tcPr>
            <w:tcW w:type="dxa" w:w="7488"/>
          </w:tcPr>
          <w:p>
            <w:pPr>
              <w:spacing w:line="276" w:lineRule="auto" w:after="40"/>
            </w:pPr>
            <w:r>
              <w:rPr>
                <w:sz w:val="22"/>
              </w:rPr>
              <w:t xml:space="preserve">    4.4 Anomaly Scoring and Continuous Threat Quantification</w:t>
            </w:r>
          </w:p>
        </w:tc>
        <w:tc>
          <w:tcPr>
            <w:tcW w:type="dxa" w:w="1152"/>
          </w:tcPr>
          <w:p>
            <w:pPr>
              <w:spacing w:line="276" w:lineRule="auto" w:after="40"/>
              <w:jc w:val="right"/>
            </w:pPr>
            <w:r>
              <w:rPr>
                <w:sz w:val="22"/>
              </w:rPr>
              <w:t>17</w:t>
            </w:r>
          </w:p>
        </w:tc>
      </w:tr>
      <w:tr>
        <w:tc>
          <w:tcPr>
            <w:tcW w:type="dxa" w:w="7488"/>
          </w:tcPr>
          <w:p>
            <w:pPr>
              <w:spacing w:line="276" w:lineRule="auto" w:after="40"/>
            </w:pPr>
            <w:r>
              <w:rPr>
                <w:sz w:val="22"/>
              </w:rPr>
              <w:t xml:space="preserve">    4.5 Rigorous Evaluation Metrics &amp; Confusion Matrix</w:t>
            </w:r>
          </w:p>
        </w:tc>
        <w:tc>
          <w:tcPr>
            <w:tcW w:type="dxa" w:w="1152"/>
          </w:tcPr>
          <w:p>
            <w:pPr>
              <w:spacing w:line="276" w:lineRule="auto" w:after="40"/>
              <w:jc w:val="right"/>
            </w:pPr>
            <w:r>
              <w:rPr>
                <w:sz w:val="22"/>
              </w:rPr>
              <w:t>18</w:t>
            </w:r>
          </w:p>
        </w:tc>
      </w:tr>
      <w:tr>
        <w:tc>
          <w:tcPr>
            <w:tcW w:type="dxa" w:w="7488"/>
          </w:tcPr>
          <w:p>
            <w:pPr>
              <w:spacing w:line="276" w:lineRule="auto" w:after="40"/>
            </w:pPr>
            <w:r>
              <w:rPr>
                <w:sz w:val="22"/>
              </w:rPr>
              <w:t xml:space="preserve">    4.6 Adaptive Threshold Optimization Research Protocol</w:t>
            </w:r>
          </w:p>
        </w:tc>
        <w:tc>
          <w:tcPr>
            <w:tcW w:type="dxa" w:w="1152"/>
          </w:tcPr>
          <w:p>
            <w:pPr>
              <w:spacing w:line="276" w:lineRule="auto" w:after="40"/>
              <w:jc w:val="right"/>
            </w:pPr>
            <w:r>
              <w:rPr>
                <w:sz w:val="22"/>
              </w:rPr>
              <w:t>20</w:t>
            </w:r>
          </w:p>
        </w:tc>
      </w:tr>
      <w:tr>
        <w:tc>
          <w:tcPr>
            <w:tcW w:type="dxa" w:w="7488"/>
          </w:tcPr>
          <w:p>
            <w:pPr>
              <w:spacing w:line="276" w:lineRule="auto" w:after="40"/>
            </w:pPr>
            <w:r>
              <w:rPr>
                <w:b/>
                <w:sz w:val="22"/>
              </w:rPr>
              <w:t>CHAPTER 5: IMPLEMENTATION AND EXPERIMENTAL RESULTS</w:t>
            </w:r>
          </w:p>
        </w:tc>
        <w:tc>
          <w:tcPr>
            <w:tcW w:type="dxa" w:w="1152"/>
          </w:tcPr>
          <w:p>
            <w:pPr>
              <w:spacing w:line="276" w:lineRule="auto" w:after="40"/>
              <w:jc w:val="right"/>
            </w:pPr>
            <w:r>
              <w:rPr>
                <w:sz w:val="22"/>
              </w:rPr>
              <w:t>22</w:t>
            </w:r>
          </w:p>
        </w:tc>
      </w:tr>
      <w:tr>
        <w:tc>
          <w:tcPr>
            <w:tcW w:type="dxa" w:w="7488"/>
          </w:tcPr>
          <w:p>
            <w:pPr>
              <w:spacing w:line="276" w:lineRule="auto" w:after="40"/>
            </w:pPr>
            <w:r>
              <w:rPr>
                <w:sz w:val="22"/>
              </w:rPr>
              <w:t xml:space="preserve">    5.1 System Modules Implementation</w:t>
            </w:r>
          </w:p>
        </w:tc>
        <w:tc>
          <w:tcPr>
            <w:tcW w:type="dxa" w:w="1152"/>
          </w:tcPr>
          <w:p>
            <w:pPr>
              <w:spacing w:line="276" w:lineRule="auto" w:after="40"/>
              <w:jc w:val="right"/>
            </w:pPr>
            <w:r>
              <w:rPr>
                <w:sz w:val="22"/>
              </w:rPr>
              <w:t>22</w:t>
            </w:r>
          </w:p>
        </w:tc>
      </w:tr>
      <w:tr>
        <w:tc>
          <w:tcPr>
            <w:tcW w:type="dxa" w:w="7488"/>
          </w:tcPr>
          <w:p>
            <w:pPr>
              <w:spacing w:line="276" w:lineRule="auto" w:after="40"/>
            </w:pPr>
            <w:r>
              <w:rPr>
                <w:sz w:val="22"/>
              </w:rPr>
              <w:t xml:space="preserve">    5.2 User Interface &amp; Implementation Screenshots</w:t>
            </w:r>
          </w:p>
        </w:tc>
        <w:tc>
          <w:tcPr>
            <w:tcW w:type="dxa" w:w="1152"/>
          </w:tcPr>
          <w:p>
            <w:pPr>
              <w:spacing w:line="276" w:lineRule="auto" w:after="40"/>
              <w:jc w:val="right"/>
            </w:pPr>
            <w:r>
              <w:rPr>
                <w:sz w:val="22"/>
              </w:rPr>
              <w:t>23</w:t>
            </w:r>
          </w:p>
        </w:tc>
      </w:tr>
      <w:tr>
        <w:tc>
          <w:tcPr>
            <w:tcW w:type="dxa" w:w="7488"/>
          </w:tcPr>
          <w:p>
            <w:pPr>
              <w:spacing w:line="276" w:lineRule="auto" w:after="40"/>
            </w:pPr>
            <w:r>
              <w:rPr>
                <w:sz w:val="22"/>
              </w:rPr>
              <w:t xml:space="preserve">    5.3 Experimental Performance Analysis &amp; Benchmark Results</w:t>
            </w:r>
          </w:p>
        </w:tc>
        <w:tc>
          <w:tcPr>
            <w:tcW w:type="dxa" w:w="1152"/>
          </w:tcPr>
          <w:p>
            <w:pPr>
              <w:spacing w:line="276" w:lineRule="auto" w:after="40"/>
              <w:jc w:val="right"/>
            </w:pPr>
            <w:r>
              <w:rPr>
                <w:sz w:val="22"/>
              </w:rPr>
              <w:t>31</w:t>
            </w:r>
          </w:p>
        </w:tc>
      </w:tr>
      <w:tr>
        <w:tc>
          <w:tcPr>
            <w:tcW w:type="dxa" w:w="7488"/>
          </w:tcPr>
          <w:p>
            <w:pPr>
              <w:spacing w:line="276" w:lineRule="auto" w:after="40"/>
            </w:pPr>
            <w:r>
              <w:rPr>
                <w:sz w:val="22"/>
              </w:rPr>
              <w:t xml:space="preserve">    5.4 Adaptive vs. Fixed Threshold Comparison</w:t>
            </w:r>
          </w:p>
        </w:tc>
        <w:tc>
          <w:tcPr>
            <w:tcW w:type="dxa" w:w="1152"/>
          </w:tcPr>
          <w:p>
            <w:pPr>
              <w:spacing w:line="276" w:lineRule="auto" w:after="40"/>
              <w:jc w:val="right"/>
            </w:pPr>
            <w:r>
              <w:rPr>
                <w:sz w:val="22"/>
              </w:rPr>
              <w:t>33</w:t>
            </w:r>
          </w:p>
        </w:tc>
      </w:tr>
      <w:tr>
        <w:tc>
          <w:tcPr>
            <w:tcW w:type="dxa" w:w="7488"/>
          </w:tcPr>
          <w:p>
            <w:pPr>
              <w:spacing w:line="276" w:lineRule="auto" w:after="40"/>
            </w:pPr>
            <w:r>
              <w:rPr>
                <w:sz w:val="22"/>
              </w:rPr>
              <w:t xml:space="preserve">    5.5 Automated Test Verification Suite (Pytest)</w:t>
            </w:r>
          </w:p>
        </w:tc>
        <w:tc>
          <w:tcPr>
            <w:tcW w:type="dxa" w:w="1152"/>
          </w:tcPr>
          <w:p>
            <w:pPr>
              <w:spacing w:line="276" w:lineRule="auto" w:after="40"/>
              <w:jc w:val="right"/>
            </w:pPr>
            <w:r>
              <w:rPr>
                <w:sz w:val="22"/>
              </w:rPr>
              <w:t>34</w:t>
            </w:r>
          </w:p>
        </w:tc>
      </w:tr>
      <w:tr>
        <w:tc>
          <w:tcPr>
            <w:tcW w:type="dxa" w:w="7488"/>
          </w:tcPr>
          <w:p>
            <w:pPr>
              <w:spacing w:line="276" w:lineRule="auto" w:after="40"/>
            </w:pPr>
            <w:r>
              <w:rPr>
                <w:b/>
                <w:sz w:val="22"/>
              </w:rPr>
              <w:t>CHAPTER 6: CONCLUSION AND FUTURE ENHANCEMENTS</w:t>
            </w:r>
          </w:p>
        </w:tc>
        <w:tc>
          <w:tcPr>
            <w:tcW w:type="dxa" w:w="1152"/>
          </w:tcPr>
          <w:p>
            <w:pPr>
              <w:spacing w:line="276" w:lineRule="auto" w:after="40"/>
              <w:jc w:val="right"/>
            </w:pPr>
            <w:r>
              <w:rPr>
                <w:sz w:val="22"/>
              </w:rPr>
              <w:t>36</w:t>
            </w:r>
          </w:p>
        </w:tc>
      </w:tr>
      <w:tr>
        <w:tc>
          <w:tcPr>
            <w:tcW w:type="dxa" w:w="7488"/>
          </w:tcPr>
          <w:p>
            <w:pPr>
              <w:spacing w:line="276" w:lineRule="auto" w:after="40"/>
            </w:pPr>
            <w:r>
              <w:rPr>
                <w:sz w:val="22"/>
              </w:rPr>
              <w:t xml:space="preserve">    6.1 Project Conclusion</w:t>
            </w:r>
          </w:p>
        </w:tc>
        <w:tc>
          <w:tcPr>
            <w:tcW w:type="dxa" w:w="1152"/>
          </w:tcPr>
          <w:p>
            <w:pPr>
              <w:spacing w:line="276" w:lineRule="auto" w:after="40"/>
              <w:jc w:val="right"/>
            </w:pPr>
            <w:r>
              <w:rPr>
                <w:sz w:val="22"/>
              </w:rPr>
              <w:t>36</w:t>
            </w:r>
          </w:p>
        </w:tc>
      </w:tr>
      <w:tr>
        <w:tc>
          <w:tcPr>
            <w:tcW w:type="dxa" w:w="7488"/>
          </w:tcPr>
          <w:p>
            <w:pPr>
              <w:spacing w:line="276" w:lineRule="auto" w:after="40"/>
            </w:pPr>
            <w:r>
              <w:rPr>
                <w:sz w:val="22"/>
              </w:rPr>
              <w:t xml:space="preserve">    6.2 Current System Limitations</w:t>
            </w:r>
          </w:p>
        </w:tc>
        <w:tc>
          <w:tcPr>
            <w:tcW w:type="dxa" w:w="1152"/>
          </w:tcPr>
          <w:p>
            <w:pPr>
              <w:spacing w:line="276" w:lineRule="auto" w:after="40"/>
              <w:jc w:val="right"/>
            </w:pPr>
            <w:r>
              <w:rPr>
                <w:sz w:val="22"/>
              </w:rPr>
              <w:t>37</w:t>
            </w:r>
          </w:p>
        </w:tc>
      </w:tr>
      <w:tr>
        <w:tc>
          <w:tcPr>
            <w:tcW w:type="dxa" w:w="7488"/>
          </w:tcPr>
          <w:p>
            <w:pPr>
              <w:spacing w:line="276" w:lineRule="auto" w:after="40"/>
            </w:pPr>
            <w:r>
              <w:rPr>
                <w:sz w:val="22"/>
              </w:rPr>
              <w:t xml:space="preserve">    6.3 Future Scope &amp; Industry Roadmap</w:t>
            </w:r>
          </w:p>
        </w:tc>
        <w:tc>
          <w:tcPr>
            <w:tcW w:type="dxa" w:w="1152"/>
          </w:tcPr>
          <w:p>
            <w:pPr>
              <w:spacing w:line="276" w:lineRule="auto" w:after="40"/>
              <w:jc w:val="right"/>
            </w:pPr>
            <w:r>
              <w:rPr>
                <w:sz w:val="22"/>
              </w:rPr>
              <w:t>37</w:t>
            </w:r>
          </w:p>
        </w:tc>
      </w:tr>
      <w:tr>
        <w:tc>
          <w:tcPr>
            <w:tcW w:type="dxa" w:w="7488"/>
          </w:tcPr>
          <w:p>
            <w:pPr>
              <w:spacing w:line="276" w:lineRule="auto" w:after="40"/>
            </w:pPr>
            <w:r>
              <w:rPr>
                <w:b/>
                <w:sz w:val="22"/>
              </w:rPr>
              <w:t>REFERENCES</w:t>
            </w:r>
          </w:p>
        </w:tc>
        <w:tc>
          <w:tcPr>
            <w:tcW w:type="dxa" w:w="1152"/>
          </w:tcPr>
          <w:p>
            <w:pPr>
              <w:spacing w:line="276" w:lineRule="auto" w:after="40"/>
              <w:jc w:val="right"/>
            </w:pPr>
            <w:r>
              <w:rPr>
                <w:sz w:val="22"/>
              </w:rPr>
              <w:t>39</w:t>
            </w:r>
          </w:p>
        </w:tc>
      </w:tr>
    </w:tbl>
    <w:p>
      <w:r>
        <w:br w:type="page"/>
      </w:r>
    </w:p>
    <w:p>
      <w:pPr>
        <w:spacing w:before="0" w:after="360" w:line="360" w:lineRule="auto"/>
        <w:jc w:val="center"/>
      </w:pPr>
      <w:r>
        <w:rPr>
          <w:rFonts w:ascii="Times New Roman" w:hAnsi="Times New Roman"/>
          <w:b/>
          <w:i w:val="0"/>
          <w:sz w:val="28"/>
        </w:rPr>
        <w:t>LIST OF FIGURES</w:t>
      </w:r>
    </w:p>
    <w:tbl>
      <w:tblPr>
        <w:tblW w:type="auto" w:w="0"/>
        <w:jc w:val="center"/>
        <w:tblLook w:firstColumn="1" w:firstRow="1" w:lastColumn="0" w:lastRow="0" w:noHBand="0" w:noVBand="1" w:val="04A0"/>
      </w:tblPr>
      <w:tblGrid>
        <w:gridCol w:w="3000"/>
        <w:gridCol w:w="3000"/>
        <w:gridCol w:w="3000"/>
      </w:tblGrid>
      <w:tr>
        <w:tc>
          <w:tcPr>
            <w:tcW w:type="dxa" w:w="1872"/>
          </w:tcPr>
          <w:p>
            <w:pPr>
              <w:spacing w:after="40"/>
            </w:pPr>
            <w:r>
              <w:rPr>
                <w:b/>
              </w:rPr>
              <w:t>Figure 3.1</w:t>
            </w:r>
          </w:p>
        </w:tc>
        <w:tc>
          <w:tcPr>
            <w:tcW w:type="dxa" w:w="6048"/>
          </w:tcPr>
          <w:p>
            <w:pPr>
              <w:spacing w:after="40"/>
            </w:pPr>
            <w:r>
              <w:t>ThreatScope Multi-Tier System Architecture</w:t>
            </w:r>
          </w:p>
        </w:tc>
        <w:tc>
          <w:tcPr>
            <w:tcW w:type="dxa" w:w="720"/>
          </w:tcPr>
          <w:p>
            <w:pPr>
              <w:spacing w:after="40"/>
              <w:jc w:val="right"/>
            </w:pPr>
            <w:r>
              <w:t>11</w:t>
            </w:r>
          </w:p>
        </w:tc>
      </w:tr>
      <w:tr>
        <w:tc>
          <w:tcPr>
            <w:tcW w:type="dxa" w:w="1872"/>
          </w:tcPr>
          <w:p>
            <w:pPr>
              <w:spacing w:after="40"/>
            </w:pPr>
            <w:r>
              <w:rPr>
                <w:b/>
              </w:rPr>
              <w:t>Figure 4.1</w:t>
            </w:r>
          </w:p>
        </w:tc>
        <w:tc>
          <w:tcPr>
            <w:tcW w:type="dxa" w:w="6048"/>
          </w:tcPr>
          <w:p>
            <w:pPr>
              <w:spacing w:after="40"/>
            </w:pPr>
            <w:r>
              <w:t>Isolation Forest Recursive Tree Partitioning Concept</w:t>
            </w:r>
          </w:p>
        </w:tc>
        <w:tc>
          <w:tcPr>
            <w:tcW w:type="dxa" w:w="720"/>
          </w:tcPr>
          <w:p>
            <w:pPr>
              <w:spacing w:after="40"/>
              <w:jc w:val="right"/>
            </w:pPr>
            <w:r>
              <w:t>16</w:t>
            </w:r>
          </w:p>
        </w:tc>
      </w:tr>
      <w:tr>
        <w:tc>
          <w:tcPr>
            <w:tcW w:type="dxa" w:w="1872"/>
          </w:tcPr>
          <w:p>
            <w:pPr>
              <w:spacing w:after="40"/>
            </w:pPr>
            <w:r>
              <w:rPr>
                <w:b/>
              </w:rPr>
              <w:t>Figure 4.2</w:t>
            </w:r>
          </w:p>
        </w:tc>
        <w:tc>
          <w:tcPr>
            <w:tcW w:type="dxa" w:w="6048"/>
          </w:tcPr>
          <w:p>
            <w:pPr>
              <w:spacing w:after="40"/>
            </w:pPr>
            <w:r>
              <w:t>Leak-Free Training, Validation, and Testing Data Flow</w:t>
            </w:r>
          </w:p>
        </w:tc>
        <w:tc>
          <w:tcPr>
            <w:tcW w:type="dxa" w:w="720"/>
          </w:tcPr>
          <w:p>
            <w:pPr>
              <w:spacing w:after="40"/>
              <w:jc w:val="right"/>
            </w:pPr>
            <w:r>
              <w:t>17</w:t>
            </w:r>
          </w:p>
        </w:tc>
      </w:tr>
      <w:tr>
        <w:tc>
          <w:tcPr>
            <w:tcW w:type="dxa" w:w="1872"/>
          </w:tcPr>
          <w:p>
            <w:pPr>
              <w:spacing w:after="40"/>
            </w:pPr>
            <w:r>
              <w:rPr>
                <w:b/>
              </w:rPr>
              <w:t>Figure 4.3</w:t>
            </w:r>
          </w:p>
        </w:tc>
        <w:tc>
          <w:tcPr>
            <w:tcW w:type="dxa" w:w="6048"/>
          </w:tcPr>
          <w:p>
            <w:pPr>
              <w:spacing w:after="40"/>
            </w:pPr>
            <w:r>
              <w:t>Standard Confusion Matrix Formulation for Network Security</w:t>
            </w:r>
          </w:p>
        </w:tc>
        <w:tc>
          <w:tcPr>
            <w:tcW w:type="dxa" w:w="720"/>
          </w:tcPr>
          <w:p>
            <w:pPr>
              <w:spacing w:after="40"/>
              <w:jc w:val="right"/>
            </w:pPr>
            <w:r>
              <w:t>19</w:t>
            </w:r>
          </w:p>
        </w:tc>
      </w:tr>
      <w:tr>
        <w:tc>
          <w:tcPr>
            <w:tcW w:type="dxa" w:w="1872"/>
          </w:tcPr>
          <w:p>
            <w:pPr>
              <w:spacing w:after="40"/>
            </w:pPr>
            <w:r>
              <w:rPr>
                <w:b/>
              </w:rPr>
              <w:t>Figure 5.1</w:t>
            </w:r>
          </w:p>
        </w:tc>
        <w:tc>
          <w:tcPr>
            <w:tcW w:type="dxa" w:w="6048"/>
          </w:tcPr>
          <w:p>
            <w:pPr>
              <w:spacing w:after="40"/>
            </w:pPr>
            <w:r>
              <w:t>ThreatScope Dashboard &amp; SOC Telemetry Overview</w:t>
            </w:r>
          </w:p>
        </w:tc>
        <w:tc>
          <w:tcPr>
            <w:tcW w:type="dxa" w:w="720"/>
          </w:tcPr>
          <w:p>
            <w:pPr>
              <w:spacing w:after="40"/>
              <w:jc w:val="right"/>
            </w:pPr>
            <w:r>
              <w:t>23</w:t>
            </w:r>
          </w:p>
        </w:tc>
      </w:tr>
      <w:tr>
        <w:tc>
          <w:tcPr>
            <w:tcW w:type="dxa" w:w="1872"/>
          </w:tcPr>
          <w:p>
            <w:pPr>
              <w:spacing w:after="40"/>
            </w:pPr>
            <w:r>
              <w:rPr>
                <w:b/>
              </w:rPr>
              <w:t>Figure 5.2</w:t>
            </w:r>
          </w:p>
        </w:tc>
        <w:tc>
          <w:tcPr>
            <w:tcW w:type="dxa" w:w="6048"/>
          </w:tcPr>
          <w:p>
            <w:pPr>
              <w:spacing w:after="40"/>
            </w:pPr>
            <w:r>
              <w:t>Dataset Upload and Automated Quality Profiler</w:t>
            </w:r>
          </w:p>
        </w:tc>
        <w:tc>
          <w:tcPr>
            <w:tcW w:type="dxa" w:w="720"/>
          </w:tcPr>
          <w:p>
            <w:pPr>
              <w:spacing w:after="40"/>
              <w:jc w:val="right"/>
            </w:pPr>
            <w:r>
              <w:t>24</w:t>
            </w:r>
          </w:p>
        </w:tc>
      </w:tr>
      <w:tr>
        <w:tc>
          <w:tcPr>
            <w:tcW w:type="dxa" w:w="1872"/>
          </w:tcPr>
          <w:p>
            <w:pPr>
              <w:spacing w:after="40"/>
            </w:pPr>
            <w:r>
              <w:rPr>
                <w:b/>
              </w:rPr>
              <w:t>Figure 5.3</w:t>
            </w:r>
          </w:p>
        </w:tc>
        <w:tc>
          <w:tcPr>
            <w:tcW w:type="dxa" w:w="6048"/>
          </w:tcPr>
          <w:p>
            <w:pPr>
              <w:spacing w:after="40"/>
            </w:pPr>
            <w:r>
              <w:t>Model Training Configuration and Target Exclusion Interface</w:t>
            </w:r>
          </w:p>
        </w:tc>
        <w:tc>
          <w:tcPr>
            <w:tcW w:type="dxa" w:w="720"/>
          </w:tcPr>
          <w:p>
            <w:pPr>
              <w:spacing w:after="40"/>
              <w:jc w:val="right"/>
            </w:pPr>
            <w:r>
              <w:t>25</w:t>
            </w:r>
          </w:p>
        </w:tc>
      </w:tr>
      <w:tr>
        <w:tc>
          <w:tcPr>
            <w:tcW w:type="dxa" w:w="1872"/>
          </w:tcPr>
          <w:p>
            <w:pPr>
              <w:spacing w:after="40"/>
            </w:pPr>
            <w:r>
              <w:rPr>
                <w:b/>
              </w:rPr>
              <w:t>Figure 5.4</w:t>
            </w:r>
          </w:p>
        </w:tc>
        <w:tc>
          <w:tcPr>
            <w:tcW w:type="dxa" w:w="6048"/>
          </w:tcPr>
          <w:p>
            <w:pPr>
              <w:spacing w:after="40"/>
            </w:pPr>
            <w:r>
              <w:t>Held-Out Test Evaluation Report and Interactive Confusion Matrix</w:t>
            </w:r>
          </w:p>
        </w:tc>
        <w:tc>
          <w:tcPr>
            <w:tcW w:type="dxa" w:w="720"/>
          </w:tcPr>
          <w:p>
            <w:pPr>
              <w:spacing w:after="40"/>
              <w:jc w:val="right"/>
            </w:pPr>
            <w:r>
              <w:t>26</w:t>
            </w:r>
          </w:p>
        </w:tc>
      </w:tr>
      <w:tr>
        <w:tc>
          <w:tcPr>
            <w:tcW w:type="dxa" w:w="1872"/>
          </w:tcPr>
          <w:p>
            <w:pPr>
              <w:spacing w:after="40"/>
            </w:pPr>
            <w:r>
              <w:rPr>
                <w:b/>
              </w:rPr>
              <w:t>Figure 5.5</w:t>
            </w:r>
          </w:p>
        </w:tc>
        <w:tc>
          <w:tcPr>
            <w:tcW w:type="dxa" w:w="6048"/>
          </w:tcPr>
          <w:p>
            <w:pPr>
              <w:spacing w:after="40"/>
            </w:pPr>
            <w:r>
              <w:t>Live Network Traffic Anomaly Detection and Histogram Telemetry</w:t>
            </w:r>
          </w:p>
        </w:tc>
        <w:tc>
          <w:tcPr>
            <w:tcW w:type="dxa" w:w="720"/>
          </w:tcPr>
          <w:p>
            <w:pPr>
              <w:spacing w:after="40"/>
              <w:jc w:val="right"/>
            </w:pPr>
            <w:r>
              <w:t>27</w:t>
            </w:r>
          </w:p>
        </w:tc>
      </w:tr>
      <w:tr>
        <w:tc>
          <w:tcPr>
            <w:tcW w:type="dxa" w:w="1872"/>
          </w:tcPr>
          <w:p>
            <w:pPr>
              <w:spacing w:after="40"/>
            </w:pPr>
            <w:r>
              <w:rPr>
                <w:b/>
              </w:rPr>
              <w:t>Figure 5.6</w:t>
            </w:r>
          </w:p>
        </w:tc>
        <w:tc>
          <w:tcPr>
            <w:tcW w:type="dxa" w:w="6048"/>
          </w:tcPr>
          <w:p>
            <w:pPr>
              <w:spacing w:after="40"/>
            </w:pPr>
            <w:r>
              <w:t>Adaptive vs. Fixed Threshold Research Lab and Delta Analytics</w:t>
            </w:r>
          </w:p>
        </w:tc>
        <w:tc>
          <w:tcPr>
            <w:tcW w:type="dxa" w:w="720"/>
          </w:tcPr>
          <w:p>
            <w:pPr>
              <w:spacing w:after="40"/>
              <w:jc w:val="right"/>
            </w:pPr>
            <w:r>
              <w:t>28</w:t>
            </w:r>
          </w:p>
        </w:tc>
      </w:tr>
      <w:tr>
        <w:tc>
          <w:tcPr>
            <w:tcW w:type="dxa" w:w="1872"/>
          </w:tcPr>
          <w:p>
            <w:pPr>
              <w:spacing w:after="40"/>
            </w:pPr>
            <w:r>
              <w:rPr>
                <w:b/>
              </w:rPr>
              <w:t>Figure 5.7</w:t>
            </w:r>
          </w:p>
        </w:tc>
        <w:tc>
          <w:tcPr>
            <w:tcW w:type="dxa" w:w="6048"/>
          </w:tcPr>
          <w:p>
            <w:pPr>
              <w:spacing w:after="40"/>
            </w:pPr>
            <w:r>
              <w:t>Historical Execution Log and Model Version Switcher</w:t>
            </w:r>
          </w:p>
        </w:tc>
        <w:tc>
          <w:tcPr>
            <w:tcW w:type="dxa" w:w="720"/>
          </w:tcPr>
          <w:p>
            <w:pPr>
              <w:spacing w:after="40"/>
              <w:jc w:val="right"/>
            </w:pPr>
            <w:r>
              <w:t>29</w:t>
            </w:r>
          </w:p>
        </w:tc>
      </w:tr>
      <w:tr>
        <w:tc>
          <w:tcPr>
            <w:tcW w:type="dxa" w:w="1872"/>
          </w:tcPr>
          <w:p>
            <w:pPr>
              <w:spacing w:after="40"/>
            </w:pPr>
            <w:r>
              <w:rPr>
                <w:b/>
              </w:rPr>
              <w:t>Figure 5.8</w:t>
            </w:r>
          </w:p>
        </w:tc>
        <w:tc>
          <w:tcPr>
            <w:tcW w:type="dxa" w:w="6048"/>
          </w:tcPr>
          <w:p>
            <w:pPr>
              <w:spacing w:after="40"/>
            </w:pPr>
            <w:r>
              <w:t>Settings and System Health Diagnostics Console</w:t>
            </w:r>
          </w:p>
        </w:tc>
        <w:tc>
          <w:tcPr>
            <w:tcW w:type="dxa" w:w="720"/>
          </w:tcPr>
          <w:p>
            <w:pPr>
              <w:spacing w:after="40"/>
              <w:jc w:val="right"/>
            </w:pPr>
            <w:r>
              <w:t>30</w:t>
            </w:r>
          </w:p>
        </w:tc>
      </w:tr>
      <w:tr>
        <w:tc>
          <w:tcPr>
            <w:tcW w:type="dxa" w:w="1872"/>
          </w:tcPr>
          <w:p>
            <w:pPr>
              <w:spacing w:after="40"/>
            </w:pPr>
            <w:r>
              <w:rPr>
                <w:b/>
              </w:rPr>
              <w:t>Figure 5.9</w:t>
            </w:r>
          </w:p>
        </w:tc>
        <w:tc>
          <w:tcPr>
            <w:tcW w:type="dxa" w:w="6048"/>
          </w:tcPr>
          <w:p>
            <w:pPr>
              <w:spacing w:after="40"/>
            </w:pPr>
            <w:r>
              <w:t>Automated Pytest Test Suite Execution (13/13 Passed)</w:t>
            </w:r>
          </w:p>
        </w:tc>
        <w:tc>
          <w:tcPr>
            <w:tcW w:type="dxa" w:w="720"/>
          </w:tcPr>
          <w:p>
            <w:pPr>
              <w:spacing w:after="40"/>
              <w:jc w:val="right"/>
            </w:pPr>
            <w:r>
              <w:t>35</w:t>
            </w:r>
          </w:p>
        </w:tc>
      </w:tr>
    </w:tbl>
    <w:p>
      <w:pPr>
        <w:spacing w:before="360" w:after="360" w:line="360" w:lineRule="auto"/>
        <w:jc w:val="center"/>
      </w:pPr>
      <w:r>
        <w:rPr>
          <w:rFonts w:ascii="Times New Roman" w:hAnsi="Times New Roman"/>
          <w:b/>
          <w:i w:val="0"/>
          <w:sz w:val="28"/>
        </w:rPr>
        <w:br/>
        <w:t>LIST OF TABLES</w:t>
      </w:r>
    </w:p>
    <w:tbl>
      <w:tblPr>
        <w:tblW w:type="auto" w:w="0"/>
        <w:jc w:val="center"/>
        <w:tblLook w:firstColumn="1" w:firstRow="1" w:lastColumn="0" w:lastRow="0" w:noHBand="0" w:noVBand="1" w:val="04A0"/>
      </w:tblPr>
      <w:tblGrid>
        <w:gridCol w:w="3000"/>
        <w:gridCol w:w="3000"/>
        <w:gridCol w:w="3000"/>
      </w:tblGrid>
      <w:tr>
        <w:tc>
          <w:tcPr>
            <w:tcW w:type="dxa" w:w="1872"/>
          </w:tcPr>
          <w:p>
            <w:pPr>
              <w:spacing w:after="40"/>
            </w:pPr>
            <w:r>
              <w:rPr>
                <w:b/>
              </w:rPr>
              <w:t>Table 3.1</w:t>
            </w:r>
          </w:p>
        </w:tc>
        <w:tc>
          <w:tcPr>
            <w:tcW w:type="dxa" w:w="6048"/>
          </w:tcPr>
          <w:p>
            <w:pPr>
              <w:spacing w:after="40"/>
            </w:pPr>
            <w:r>
              <w:t>Hardware Requirements Specification</w:t>
            </w:r>
          </w:p>
        </w:tc>
        <w:tc>
          <w:tcPr>
            <w:tcW w:type="dxa" w:w="720"/>
          </w:tcPr>
          <w:p>
            <w:pPr>
              <w:spacing w:after="40"/>
              <w:jc w:val="right"/>
            </w:pPr>
            <w:r>
              <w:t>9</w:t>
            </w:r>
          </w:p>
        </w:tc>
      </w:tr>
      <w:tr>
        <w:tc>
          <w:tcPr>
            <w:tcW w:type="dxa" w:w="1872"/>
          </w:tcPr>
          <w:p>
            <w:pPr>
              <w:spacing w:after="40"/>
            </w:pPr>
            <w:r>
              <w:rPr>
                <w:b/>
              </w:rPr>
              <w:t>Table 3.2</w:t>
            </w:r>
          </w:p>
        </w:tc>
        <w:tc>
          <w:tcPr>
            <w:tcW w:type="dxa" w:w="6048"/>
          </w:tcPr>
          <w:p>
            <w:pPr>
              <w:spacing w:after="40"/>
            </w:pPr>
            <w:r>
              <w:t>Software and Technology Stack Specifications</w:t>
            </w:r>
          </w:p>
        </w:tc>
        <w:tc>
          <w:tcPr>
            <w:tcW w:type="dxa" w:w="720"/>
          </w:tcPr>
          <w:p>
            <w:pPr>
              <w:spacing w:after="40"/>
              <w:jc w:val="right"/>
            </w:pPr>
            <w:r>
              <w:t>10</w:t>
            </w:r>
          </w:p>
        </w:tc>
      </w:tr>
      <w:tr>
        <w:tc>
          <w:tcPr>
            <w:tcW w:type="dxa" w:w="1872"/>
          </w:tcPr>
          <w:p>
            <w:pPr>
              <w:spacing w:after="40"/>
            </w:pPr>
            <w:r>
              <w:rPr>
                <w:b/>
              </w:rPr>
              <w:t>Table 4.1</w:t>
            </w:r>
          </w:p>
        </w:tc>
        <w:tc>
          <w:tcPr>
            <w:tcW w:type="dxa" w:w="6048"/>
          </w:tcPr>
          <w:p>
            <w:pPr>
              <w:spacing w:after="40"/>
            </w:pPr>
            <w:r>
              <w:t>Key Extracted Features from CIC-IDS2017 Benchmark Dataset</w:t>
            </w:r>
          </w:p>
        </w:tc>
        <w:tc>
          <w:tcPr>
            <w:tcW w:type="dxa" w:w="720"/>
          </w:tcPr>
          <w:p>
            <w:pPr>
              <w:spacing w:after="40"/>
              <w:jc w:val="right"/>
            </w:pPr>
            <w:r>
              <w:t>14</w:t>
            </w:r>
          </w:p>
        </w:tc>
      </w:tr>
      <w:tr>
        <w:tc>
          <w:tcPr>
            <w:tcW w:type="dxa" w:w="1872"/>
          </w:tcPr>
          <w:p>
            <w:pPr>
              <w:spacing w:after="40"/>
            </w:pPr>
            <w:r>
              <w:rPr>
                <w:b/>
              </w:rPr>
              <w:t>Table 4.2</w:t>
            </w:r>
          </w:p>
        </w:tc>
        <w:tc>
          <w:tcPr>
            <w:tcW w:type="dxa" w:w="6048"/>
          </w:tcPr>
          <w:p>
            <w:pPr>
              <w:spacing w:after="40"/>
            </w:pPr>
            <w:r>
              <w:t>Standard Binary Mapping Protocol for Multi-Class Attack Labels</w:t>
            </w:r>
          </w:p>
        </w:tc>
        <w:tc>
          <w:tcPr>
            <w:tcW w:type="dxa" w:w="720"/>
          </w:tcPr>
          <w:p>
            <w:pPr>
              <w:spacing w:after="40"/>
              <w:jc w:val="right"/>
            </w:pPr>
            <w:r>
              <w:t>18</w:t>
            </w:r>
          </w:p>
        </w:tc>
      </w:tr>
      <w:tr>
        <w:tc>
          <w:tcPr>
            <w:tcW w:type="dxa" w:w="1872"/>
          </w:tcPr>
          <w:p>
            <w:pPr>
              <w:spacing w:after="40"/>
            </w:pPr>
            <w:r>
              <w:rPr>
                <w:b/>
              </w:rPr>
              <w:t>Table 5.1</w:t>
            </w:r>
          </w:p>
        </w:tc>
        <w:tc>
          <w:tcPr>
            <w:tcW w:type="dxa" w:w="6048"/>
          </w:tcPr>
          <w:p>
            <w:pPr>
              <w:spacing w:after="40"/>
            </w:pPr>
            <w:r>
              <w:t>Empirical Performance Metrics on Held-Out Test Partitions</w:t>
            </w:r>
          </w:p>
        </w:tc>
        <w:tc>
          <w:tcPr>
            <w:tcW w:type="dxa" w:w="720"/>
          </w:tcPr>
          <w:p>
            <w:pPr>
              <w:spacing w:after="40"/>
              <w:jc w:val="right"/>
            </w:pPr>
            <w:r>
              <w:t>32</w:t>
            </w:r>
          </w:p>
        </w:tc>
      </w:tr>
      <w:tr>
        <w:tc>
          <w:tcPr>
            <w:tcW w:type="dxa" w:w="1872"/>
          </w:tcPr>
          <w:p>
            <w:pPr>
              <w:spacing w:after="40"/>
            </w:pPr>
            <w:r>
              <w:rPr>
                <w:b/>
              </w:rPr>
              <w:t>Table 5.2</w:t>
            </w:r>
          </w:p>
        </w:tc>
        <w:tc>
          <w:tcPr>
            <w:tcW w:type="dxa" w:w="6048"/>
          </w:tcPr>
          <w:p>
            <w:pPr>
              <w:spacing w:after="40"/>
            </w:pPr>
            <w:r>
              <w:t>Empirical Evaluation of Fixed (0.0) vs. Adaptive Threshold Optimization</w:t>
            </w:r>
          </w:p>
        </w:tc>
        <w:tc>
          <w:tcPr>
            <w:tcW w:type="dxa" w:w="720"/>
          </w:tcPr>
          <w:p>
            <w:pPr>
              <w:spacing w:after="40"/>
              <w:jc w:val="right"/>
            </w:pPr>
            <w:r>
              <w:t>33</w:t>
            </w:r>
          </w:p>
        </w:tc>
      </w:tr>
      <w:tr>
        <w:tc>
          <w:tcPr>
            <w:tcW w:type="dxa" w:w="1872"/>
          </w:tcPr>
          <w:p>
            <w:pPr>
              <w:spacing w:after="40"/>
            </w:pPr>
            <w:r>
              <w:rPr>
                <w:b/>
              </w:rPr>
              <w:t>Table 5.3</w:t>
            </w:r>
          </w:p>
        </w:tc>
        <w:tc>
          <w:tcPr>
            <w:tcW w:type="dxa" w:w="6048"/>
          </w:tcPr>
          <w:p>
            <w:pPr>
              <w:spacing w:after="40"/>
            </w:pPr>
            <w:r>
              <w:t>Verification Results of Automated Unit and Integration Test Harness</w:t>
            </w:r>
          </w:p>
        </w:tc>
        <w:tc>
          <w:tcPr>
            <w:tcW w:type="dxa" w:w="720"/>
          </w:tcPr>
          <w:p>
            <w:pPr>
              <w:spacing w:after="40"/>
              <w:jc w:val="right"/>
            </w:pPr>
            <w:r>
              <w:t>35</w:t>
            </w:r>
          </w:p>
        </w:tc>
      </w:tr>
    </w:tbl>
    <w:p>
      <w:r>
        <w:br w:type="page"/>
      </w:r>
    </w:p>
    <w:p>
      <w:pPr>
        <w:keepNext/>
        <w:spacing w:before="360" w:after="160"/>
        <w:jc w:val="left"/>
      </w:pPr>
      <w:r>
        <w:rPr>
          <w:rFonts w:ascii="Times New Roman" w:hAnsi="Times New Roman"/>
          <w:b/>
          <w:color w:val="000000"/>
          <w:sz w:val="28"/>
        </w:rPr>
        <w:t>CHAPTER 1</w:t>
        <w:br/>
        <w:t>INTRODUCTION</w:t>
      </w:r>
    </w:p>
    <w:p>
      <w:pPr>
        <w:keepNext/>
        <w:spacing w:before="240" w:after="80"/>
        <w:jc w:val="left"/>
      </w:pPr>
      <w:r>
        <w:rPr>
          <w:rFonts w:ascii="Times New Roman" w:hAnsi="Times New Roman"/>
          <w:b/>
          <w:color w:val="000000"/>
          <w:sz w:val="24"/>
        </w:rPr>
        <w:t>1.1 Background &amp; Overview</w:t>
      </w:r>
    </w:p>
    <w:p>
      <w:pPr>
        <w:spacing w:before="0" w:after="120" w:line="360" w:lineRule="auto"/>
        <w:jc w:val="both"/>
      </w:pPr>
      <w:r>
        <w:rPr>
          <w:rFonts w:ascii="Times New Roman" w:hAnsi="Times New Roman"/>
          <w:b w:val="0"/>
          <w:i w:val="0"/>
          <w:sz w:val="24"/>
        </w:rPr>
        <w:t>In the contemporary hyper-connected digital landscape, enterprise networks, cloud infrastructures, and critical cyber systems are subjected to an unrelenting surge of sophisticated cyber threats. From distributed denial-of-service (DDoS) barrages and automated botnet command-and-control communication to stealthy reconnaissance scans and lateral exploit propagation, the attack surface has broadened exponentially. Network Intrusion Detection Systems (NIDS) serve as the frontline defense mechanism in identifying, categorizing, and mitigating hostile network activity.</w:t>
      </w:r>
    </w:p>
    <w:p>
      <w:pPr>
        <w:spacing w:before="0" w:after="120" w:line="360" w:lineRule="auto"/>
        <w:jc w:val="both"/>
      </w:pPr>
      <w:r>
        <w:rPr>
          <w:rFonts w:ascii="Times New Roman" w:hAnsi="Times New Roman"/>
          <w:b w:val="0"/>
          <w:i w:val="0"/>
          <w:sz w:val="24"/>
        </w:rPr>
        <w:t>Historically, intrusion detection has been anchored in rule-based, signature-matching methodologies. While highly effective against documented, static exploits, signature detection is structurally incapable of intercepting polymorphic malware or zero-day threats. With adversaries actively developing evasion tactics that bypass static signatures, there is an imperative demand for behavioral anomaly detection systems capable of evaluating traffic dynamics in real time based on quantitative feature deviations rather than pre-compiled signatures.</w:t>
      </w:r>
    </w:p>
    <w:p>
      <w:pPr>
        <w:keepNext/>
        <w:spacing w:before="240" w:after="80"/>
        <w:jc w:val="left"/>
      </w:pPr>
      <w:r>
        <w:rPr>
          <w:rFonts w:ascii="Times New Roman" w:hAnsi="Times New Roman"/>
          <w:b/>
          <w:color w:val="000000"/>
          <w:sz w:val="24"/>
        </w:rPr>
        <w:t>1.2 Problem Statement</w:t>
      </w:r>
    </w:p>
    <w:p>
      <w:pPr>
        <w:spacing w:before="0" w:after="120" w:line="360" w:lineRule="auto"/>
        <w:jc w:val="both"/>
      </w:pPr>
      <w:r>
        <w:rPr>
          <w:rFonts w:ascii="Times New Roman" w:hAnsi="Times New Roman"/>
          <w:b/>
          <w:i w:val="0"/>
          <w:sz w:val="24"/>
        </w:rPr>
        <w:t>Contemporary machine learning implementations in cybersecurity frequently suffer from foundational architectural and methodological deficiencies:</w:t>
      </w:r>
    </w:p>
    <w:p>
      <w:pPr>
        <w:spacing w:before="0" w:after="120" w:line="360" w:lineRule="auto"/>
        <w:jc w:val="both"/>
      </w:pPr>
      <w:r>
        <w:rPr>
          <w:rFonts w:ascii="Times New Roman" w:hAnsi="Times New Roman"/>
          <w:b w:val="0"/>
          <w:i w:val="0"/>
          <w:sz w:val="24"/>
        </w:rPr>
        <w:t>1. Class Imbalance and Label Scarcity: Supervised learning algorithms (such as Random Forest, Support Vector Machines, and Neural Networks) depend fundamentally on massive, balanced labeled training sets. In operational production environments, benign traffic constitutes over 99.9% of flow records, making high-quality labeled attack data exceptionally scarce.</w:t>
      </w:r>
    </w:p>
    <w:p>
      <w:pPr>
        <w:spacing w:before="0" w:after="120" w:line="360" w:lineRule="auto"/>
        <w:jc w:val="both"/>
      </w:pPr>
      <w:r>
        <w:rPr>
          <w:rFonts w:ascii="Times New Roman" w:hAnsi="Times New Roman"/>
          <w:b w:val="0"/>
          <w:i w:val="0"/>
          <w:sz w:val="24"/>
        </w:rPr>
        <w:t>2. Pervasive Data Leakage: Academic projects frequently commit methodological errors by preprocessing whole datasets simultaneously. Imputing missing values or scaling features using dataset-wide statistics leaks future test distributions into training partitions, generating artificially inflated accuracy metrics that collapse when deployed.</w:t>
      </w:r>
    </w:p>
    <w:p>
      <w:pPr>
        <w:spacing w:before="0" w:after="120" w:line="360" w:lineRule="auto"/>
        <w:jc w:val="both"/>
      </w:pPr>
      <w:r>
        <w:rPr>
          <w:rFonts w:ascii="Times New Roman" w:hAnsi="Times New Roman"/>
          <w:b w:val="0"/>
          <w:i w:val="0"/>
          <w:sz w:val="24"/>
        </w:rPr>
        <w:t>3. Fabricated or Misleading Evaluation: Many existing tools calculate model accuracy on training data or hard-code optimistic metrics into dashboards, failing to present genuine, un-fabricated held-out evaluations.</w:t>
      </w:r>
    </w:p>
    <w:p>
      <w:pPr>
        <w:spacing w:before="0" w:after="120" w:line="360" w:lineRule="auto"/>
        <w:jc w:val="both"/>
      </w:pPr>
      <w:r>
        <w:rPr>
          <w:rFonts w:ascii="Times New Roman" w:hAnsi="Times New Roman"/>
          <w:b w:val="0"/>
          <w:i w:val="0"/>
          <w:sz w:val="24"/>
        </w:rPr>
        <w:t>4. Inflexible Static Decision Thresholds: Standard anomaly detection algorithms rely on default decision boundaries (e.g., 0.0) that do not account for operational trade-offs between intrusion recall and false alarm fatigue.</w:t>
      </w:r>
    </w:p>
    <w:p>
      <w:pPr>
        <w:keepNext/>
        <w:spacing w:before="240" w:after="80"/>
        <w:jc w:val="left"/>
      </w:pPr>
      <w:r>
        <w:rPr>
          <w:rFonts w:ascii="Times New Roman" w:hAnsi="Times New Roman"/>
          <w:b/>
          <w:color w:val="000000"/>
          <w:sz w:val="24"/>
        </w:rPr>
        <w:t>1.3 Project Objectives</w:t>
      </w:r>
    </w:p>
    <w:p>
      <w:pPr>
        <w:spacing w:before="0" w:after="120" w:line="360" w:lineRule="auto"/>
        <w:jc w:val="both"/>
      </w:pPr>
      <w:r>
        <w:rPr>
          <w:rFonts w:ascii="Times New Roman" w:hAnsi="Times New Roman"/>
          <w:b w:val="0"/>
          <w:i w:val="0"/>
          <w:sz w:val="24"/>
        </w:rPr>
        <w:t>To overcome the aforementioned challenges, this project establishes the following rigorous objectives:</w:t>
      </w:r>
    </w:p>
    <w:p>
      <w:pPr>
        <w:spacing w:before="0" w:after="120" w:line="360" w:lineRule="auto"/>
        <w:jc w:val="both"/>
      </w:pPr>
      <w:r>
        <w:rPr>
          <w:rFonts w:ascii="Times New Roman" w:hAnsi="Times New Roman"/>
          <w:b w:val="0"/>
          <w:i w:val="0"/>
          <w:sz w:val="24"/>
        </w:rPr>
        <w:t>• Develop an end-to-end, functional cybersecurity software platform (ThreatScope) utilizing exclusively the unsupervised Isolation Forest algorithm trained from scratch.</w:t>
      </w:r>
    </w:p>
    <w:p>
      <w:pPr>
        <w:spacing w:before="0" w:after="120" w:line="360" w:lineRule="auto"/>
        <w:jc w:val="both"/>
      </w:pPr>
      <w:r>
        <w:rPr>
          <w:rFonts w:ascii="Times New Roman" w:hAnsi="Times New Roman"/>
          <w:b w:val="0"/>
          <w:i w:val="0"/>
          <w:sz w:val="24"/>
        </w:rPr>
        <w:t>• Ingest, profile, and sanitize industry-standard cybersecurity flow datasets (CIC-IDS2017 and UNSW-NB15) with automated infinite, NaN, and duplicate handling.</w:t>
      </w:r>
    </w:p>
    <w:p>
      <w:pPr>
        <w:spacing w:before="0" w:after="120" w:line="360" w:lineRule="auto"/>
        <w:jc w:val="both"/>
      </w:pPr>
      <w:r>
        <w:rPr>
          <w:rFonts w:ascii="Times New Roman" w:hAnsi="Times New Roman"/>
          <w:b w:val="0"/>
          <w:i w:val="0"/>
          <w:sz w:val="24"/>
        </w:rPr>
        <w:t>• Formulate and enforce a strict, zero-leakage preprocessing protocol where all transformations are fitted solely on training partitions and frozen.</w:t>
      </w:r>
    </w:p>
    <w:p>
      <w:pPr>
        <w:spacing w:before="0" w:after="120" w:line="360" w:lineRule="auto"/>
        <w:jc w:val="both"/>
      </w:pPr>
      <w:r>
        <w:rPr>
          <w:rFonts w:ascii="Times New Roman" w:hAnsi="Times New Roman"/>
          <w:b w:val="0"/>
          <w:i w:val="0"/>
          <w:sz w:val="24"/>
        </w:rPr>
        <w:t>• Isolate target labels and attack categories strictly from model feature vectors to guarantee honest behavioral learning.</w:t>
      </w:r>
    </w:p>
    <w:p>
      <w:pPr>
        <w:spacing w:before="0" w:after="120" w:line="360" w:lineRule="auto"/>
        <w:jc w:val="both"/>
      </w:pPr>
      <w:r>
        <w:rPr>
          <w:rFonts w:ascii="Times New Roman" w:hAnsi="Times New Roman"/>
          <w:b w:val="0"/>
          <w:i w:val="0"/>
          <w:sz w:val="24"/>
        </w:rPr>
        <w:t>• Compute and render live, un-fabricated evaluation metrics (Accuracy, Precision, Recall, F1-Score, False-Positive Rate, Confusion Matrix) evaluated strictly on held-out test data.</w:t>
      </w:r>
    </w:p>
    <w:p>
      <w:pPr>
        <w:spacing w:before="0" w:after="120" w:line="360" w:lineRule="auto"/>
        <w:jc w:val="both"/>
      </w:pPr>
      <w:r>
        <w:rPr>
          <w:rFonts w:ascii="Times New Roman" w:hAnsi="Times New Roman"/>
          <w:b w:val="0"/>
          <w:i w:val="0"/>
          <w:sz w:val="24"/>
        </w:rPr>
        <w:t>• Conduct an empirical research experiment comparing fixed thresholding against validation-only adaptive threshold optimization.</w:t>
      </w:r>
    </w:p>
    <w:p>
      <w:pPr>
        <w:spacing w:before="0" w:after="120" w:line="360" w:lineRule="auto"/>
        <w:jc w:val="both"/>
      </w:pPr>
      <w:r>
        <w:rPr>
          <w:rFonts w:ascii="Times New Roman" w:hAnsi="Times New Roman"/>
          <w:b w:val="0"/>
          <w:i w:val="0"/>
          <w:sz w:val="24"/>
        </w:rPr>
        <w:t>• Implement a responsive, full-stack Security Operations Center (SOC) dashboard in React 19, TypeScript, and FastAPI, verified by a comprehensive automated test suite.</w:t>
      </w:r>
    </w:p>
    <w:p>
      <w:pPr>
        <w:keepNext/>
        <w:spacing w:before="240" w:after="80"/>
        <w:jc w:val="left"/>
      </w:pPr>
      <w:r>
        <w:rPr>
          <w:rFonts w:ascii="Times New Roman" w:hAnsi="Times New Roman"/>
          <w:b/>
          <w:color w:val="000000"/>
          <w:sz w:val="24"/>
        </w:rPr>
        <w:t>1.4 Scope and Significance</w:t>
      </w:r>
    </w:p>
    <w:p>
      <w:pPr>
        <w:spacing w:before="0" w:after="120" w:line="360" w:lineRule="auto"/>
        <w:jc w:val="both"/>
      </w:pPr>
      <w:r>
        <w:rPr>
          <w:rFonts w:ascii="Times New Roman" w:hAnsi="Times New Roman"/>
          <w:b w:val="0"/>
          <w:i w:val="0"/>
          <w:sz w:val="24"/>
        </w:rPr>
        <w:t>The scope of ThreatScope encompasses network flow analysis at the transport and network layers (IP and TCP/UDP flow metadata), including flow duration, packet distributions, bandwidth rates, and flag counts. ThreatScope is designed as a high-fidelity behavioral anomaly detection instrument for SOC analysts rather than an inline automated packet filter. Its significance lies in its strict methodological honesty, transparent metric calculations, real-time scoring efficiency, and modular full-stack architecture that bridges academic machine learning rigor with operational cybersecurity utility.</w:t>
      </w:r>
    </w:p>
    <w:p>
      <w:r>
        <w:br w:type="page"/>
      </w:r>
    </w:p>
    <w:p>
      <w:pPr>
        <w:keepNext/>
        <w:spacing w:before="360" w:after="160"/>
        <w:jc w:val="left"/>
      </w:pPr>
      <w:r>
        <w:rPr>
          <w:rFonts w:ascii="Times New Roman" w:hAnsi="Times New Roman"/>
          <w:b/>
          <w:color w:val="000000"/>
          <w:sz w:val="28"/>
        </w:rPr>
        <w:t>CHAPTER 2</w:t>
        <w:br/>
        <w:t>LITERATURE SURVEY</w:t>
      </w:r>
    </w:p>
    <w:p>
      <w:pPr>
        <w:keepNext/>
        <w:spacing w:before="240" w:after="80"/>
        <w:jc w:val="left"/>
      </w:pPr>
      <w:r>
        <w:rPr>
          <w:rFonts w:ascii="Times New Roman" w:hAnsi="Times New Roman"/>
          <w:b/>
          <w:color w:val="000000"/>
          <w:sz w:val="24"/>
        </w:rPr>
        <w:t>2.1 Signature-Based Intrusion Detection Systems</w:t>
      </w:r>
    </w:p>
    <w:p>
      <w:pPr>
        <w:spacing w:before="0" w:after="120" w:line="360" w:lineRule="auto"/>
        <w:jc w:val="both"/>
      </w:pPr>
      <w:r>
        <w:rPr>
          <w:rFonts w:ascii="Times New Roman" w:hAnsi="Times New Roman"/>
          <w:b w:val="0"/>
          <w:i w:val="0"/>
          <w:sz w:val="24"/>
        </w:rPr>
        <w:t>Signature-based detection mechanisms, exemplified by industry tools such as Snort, Suricata, and Zeek, represent the earliest and most widespread paradigm in NIDS. These engines operate by inspecting packet headers and payloads against deterministic rule databases (e.g., known byte sequences, exploit strings, or blacklisted IP addresses). While computationally deterministic with near-zero false positives on known exploits, signature engines exhibit fatal vulnerability to payload encryption, protocol obfuscation, and zero-day attacks that have not yet received formal CVE documentation. Furthermore, maintaining rulesets across gigabit networks imposes substantial operational latency.</w:t>
      </w:r>
    </w:p>
    <w:p>
      <w:pPr>
        <w:keepNext/>
        <w:spacing w:before="240" w:after="80"/>
        <w:jc w:val="left"/>
      </w:pPr>
      <w:r>
        <w:rPr>
          <w:rFonts w:ascii="Times New Roman" w:hAnsi="Times New Roman"/>
          <w:b/>
          <w:color w:val="000000"/>
          <w:sz w:val="24"/>
        </w:rPr>
        <w:t>2.2 Supervised Machine Learning in Cybersecurity</w:t>
      </w:r>
    </w:p>
    <w:p>
      <w:pPr>
        <w:spacing w:before="0" w:after="120" w:line="360" w:lineRule="auto"/>
        <w:jc w:val="both"/>
      </w:pPr>
      <w:r>
        <w:rPr>
          <w:rFonts w:ascii="Times New Roman" w:hAnsi="Times New Roman"/>
          <w:b w:val="0"/>
          <w:i w:val="0"/>
          <w:sz w:val="24"/>
        </w:rPr>
        <w:t>The application of supervised machine learning—including Decision Trees, Random Forests, Gradient Boosted Trees (XGBoost), and Deep Artificial Neural Networks—has been extensively investigated in academic literature (Moustafa et al., Sharafaldin et al.). Supervised classifiers frame intrusion detection as a multi-class categorization task. However, extensive research demonstrates that supervised systems underperform in dynamic network environments due to concept drift and severe class imbalance. When an attack variant deviates even slightly from the training manifold, supervised models exhibit high false-negative rates, making them ill-suited for detecting novel intrusions.</w:t>
      </w:r>
    </w:p>
    <w:p>
      <w:pPr>
        <w:keepNext/>
        <w:spacing w:before="240" w:after="80"/>
        <w:jc w:val="left"/>
      </w:pPr>
      <w:r>
        <w:rPr>
          <w:rFonts w:ascii="Times New Roman" w:hAnsi="Times New Roman"/>
          <w:b/>
          <w:color w:val="000000"/>
          <w:sz w:val="24"/>
        </w:rPr>
        <w:t>2.3 Unsupervised Anomaly Detection Paradigms</w:t>
      </w:r>
    </w:p>
    <w:p>
      <w:pPr>
        <w:spacing w:before="0" w:after="120" w:line="360" w:lineRule="auto"/>
        <w:jc w:val="both"/>
      </w:pPr>
      <w:r>
        <w:rPr>
          <w:rFonts w:ascii="Times New Roman" w:hAnsi="Times New Roman"/>
          <w:b/>
          <w:i w:val="0"/>
          <w:sz w:val="24"/>
        </w:rPr>
        <w:t>Unsupervised anomaly detection formulates intrusion detection as an outlier discovery problem, eliminating the prerequisite for labeled attack data. Prominent techniques include:</w:t>
      </w:r>
    </w:p>
    <w:p>
      <w:pPr>
        <w:spacing w:before="0" w:after="120" w:line="360" w:lineRule="auto"/>
        <w:jc w:val="both"/>
      </w:pPr>
      <w:r>
        <w:rPr>
          <w:rFonts w:ascii="Times New Roman" w:hAnsi="Times New Roman"/>
          <w:b w:val="0"/>
          <w:i w:val="0"/>
          <w:sz w:val="24"/>
        </w:rPr>
        <w:t>• Distance-Based Clustering (k-Means, DBSCAN): Clusters instances based on Euclidean or Mahalanobis distances. In high-dimensional network flow data, these suffer from the curse of dimensionality and scale quadratically (O(n²)), creating severe bottlenecks.</w:t>
      </w:r>
    </w:p>
    <w:p>
      <w:pPr>
        <w:spacing w:before="0" w:after="120" w:line="360" w:lineRule="auto"/>
        <w:jc w:val="both"/>
      </w:pPr>
      <w:r>
        <w:rPr>
          <w:rFonts w:ascii="Times New Roman" w:hAnsi="Times New Roman"/>
          <w:b w:val="0"/>
          <w:i w:val="0"/>
          <w:sz w:val="24"/>
        </w:rPr>
        <w:t>• Density-Based Estimation (Local Outlier Factor - LOF): Compares local density against neighbors. While effective for localized clusters, LOF is computationally prohibitive for high-velocity streaming traffic.</w:t>
      </w:r>
    </w:p>
    <w:p>
      <w:pPr>
        <w:spacing w:before="0" w:after="120" w:line="360" w:lineRule="auto"/>
        <w:jc w:val="both"/>
      </w:pPr>
      <w:r>
        <w:rPr>
          <w:rFonts w:ascii="Times New Roman" w:hAnsi="Times New Roman"/>
          <w:b w:val="0"/>
          <w:i w:val="0"/>
          <w:sz w:val="24"/>
        </w:rPr>
        <w:t>• One-Class Support Vector Machines (OC-SVM): Maps normal vectors to a high-dimensional feature space using kernel functions to define a hypersphere boundary. OC-SVM is highly sensitive to hyperparameter tuning (nu, gamma) and struggles with large flow volumes.</w:t>
      </w:r>
    </w:p>
    <w:p>
      <w:pPr>
        <w:spacing w:before="0" w:after="120" w:line="360" w:lineRule="auto"/>
        <w:jc w:val="both"/>
      </w:pPr>
      <w:r>
        <w:rPr>
          <w:rFonts w:ascii="Times New Roman" w:hAnsi="Times New Roman"/>
          <w:b w:val="0"/>
          <w:i w:val="0"/>
          <w:sz w:val="24"/>
        </w:rPr>
        <w:t>• Isolation Forest (Liu, Ting, Zhou, 2008): Introduces a fundamental paradigm shift by isolating anomalies rather than profiling normal clusters. By recursively partitioning feature spaces through random splits, anomalies are isolated in significantly fewer partitions (shorter tree paths) with linear time complexity O(n).</w:t>
      </w:r>
    </w:p>
    <w:p>
      <w:pPr>
        <w:keepNext/>
        <w:spacing w:before="240" w:after="80"/>
        <w:jc w:val="left"/>
      </w:pPr>
      <w:r>
        <w:rPr>
          <w:rFonts w:ascii="Times New Roman" w:hAnsi="Times New Roman"/>
          <w:b/>
          <w:color w:val="000000"/>
          <w:sz w:val="24"/>
        </w:rPr>
        <w:t>2.4 Research Gaps and Challenges Identified</w:t>
      </w:r>
    </w:p>
    <w:p>
      <w:pPr>
        <w:spacing w:before="0" w:after="120" w:line="360" w:lineRule="auto"/>
        <w:jc w:val="both"/>
      </w:pPr>
      <w:r>
        <w:rPr>
          <w:rFonts w:ascii="Times New Roman" w:hAnsi="Times New Roman"/>
          <w:b/>
          <w:i w:val="0"/>
          <w:sz w:val="24"/>
        </w:rPr>
        <w:t>A critical survey of existing open-source and academic anomaly detection tools reveals several prominent research gaps that ThreatScope directly resolves:</w:t>
      </w:r>
    </w:p>
    <w:p>
      <w:pPr>
        <w:spacing w:before="0" w:after="120" w:line="360" w:lineRule="auto"/>
        <w:jc w:val="both"/>
      </w:pPr>
      <w:r>
        <w:rPr>
          <w:rFonts w:ascii="Times New Roman" w:hAnsi="Times New Roman"/>
          <w:b w:val="0"/>
          <w:i w:val="0"/>
          <w:sz w:val="24"/>
        </w:rPr>
        <w:t>1. Lack of Full-Stack Integration: Most research remains confined to offline Jupyter notebooks without an interactive user interface, persistence layer, or API integration.</w:t>
      </w:r>
    </w:p>
    <w:p>
      <w:pPr>
        <w:spacing w:before="0" w:after="120" w:line="360" w:lineRule="auto"/>
        <w:jc w:val="both"/>
      </w:pPr>
      <w:r>
        <w:rPr>
          <w:rFonts w:ascii="Times New Roman" w:hAnsi="Times New Roman"/>
          <w:b w:val="0"/>
          <w:i w:val="0"/>
          <w:sz w:val="24"/>
        </w:rPr>
        <w:t>2. Methodological Data Leakage: Standard pipelines inadvertently fit normalization parameters across the entire dataset prior to splitting, corrupting model validity.</w:t>
      </w:r>
    </w:p>
    <w:p>
      <w:pPr>
        <w:spacing w:before="0" w:after="120" w:line="360" w:lineRule="auto"/>
        <w:jc w:val="both"/>
      </w:pPr>
      <w:r>
        <w:rPr>
          <w:rFonts w:ascii="Times New Roman" w:hAnsi="Times New Roman"/>
          <w:b w:val="0"/>
          <w:i w:val="0"/>
          <w:sz w:val="24"/>
        </w:rPr>
        <w:t>3. Static Cutoff Inflexibility: Standard Isolation Forest implementations blindly accept an arbitrary 0.0 cutoff without providing validation-based adaptive tuning mechanisms.</w:t>
      </w:r>
    </w:p>
    <w:p>
      <w:r>
        <w:br w:type="page"/>
      </w:r>
    </w:p>
    <w:p>
      <w:pPr>
        <w:keepNext/>
        <w:spacing w:before="360" w:after="160"/>
        <w:jc w:val="left"/>
      </w:pPr>
      <w:r>
        <w:rPr>
          <w:rFonts w:ascii="Times New Roman" w:hAnsi="Times New Roman"/>
          <w:b/>
          <w:color w:val="000000"/>
          <w:sz w:val="28"/>
        </w:rPr>
        <w:t>CHAPTER 3</w:t>
        <w:br/>
        <w:t>SYSTEM REQUIREMENTS AND ARCHITECTURAL DESIGN</w:t>
      </w:r>
    </w:p>
    <w:p>
      <w:pPr>
        <w:keepNext/>
        <w:spacing w:before="240" w:after="80"/>
        <w:jc w:val="left"/>
      </w:pPr>
      <w:r>
        <w:rPr>
          <w:rFonts w:ascii="Times New Roman" w:hAnsi="Times New Roman"/>
          <w:b/>
          <w:color w:val="000000"/>
          <w:sz w:val="24"/>
        </w:rPr>
        <w:t>3.1 Hardware Requirements</w:t>
      </w:r>
    </w:p>
    <w:p>
      <w:pPr>
        <w:spacing w:before="0" w:after="120" w:line="360" w:lineRule="auto"/>
        <w:jc w:val="both"/>
      </w:pPr>
      <w:r>
        <w:rPr>
          <w:rFonts w:ascii="Times New Roman" w:hAnsi="Times New Roman"/>
          <w:b w:val="0"/>
          <w:i w:val="0"/>
          <w:sz w:val="24"/>
        </w:rPr>
        <w:t>The minimum and recommended hardware configurations for executing ThreatScope are specified in Table 3.1:</w:t>
      </w:r>
    </w:p>
    <w:tbl>
      <w:tblPr>
        <w:tblW w:type="auto" w:w="0"/>
        <w:jc w:val="center"/>
        <w:tblLook w:firstColumn="1" w:firstRow="1" w:lastColumn="0" w:lastRow="0" w:noHBand="0" w:noVBand="1" w:val="04A0"/>
      </w:tblPr>
      <w:tblGrid>
        <w:gridCol w:w="3000"/>
        <w:gridCol w:w="3000"/>
        <w:gridCol w:w="3000"/>
      </w:tblGrid>
      <w:tr>
        <w:tc>
          <w:tcPr>
            <w:tcW w:type="dxa" w:w="3000"/>
            <w:shd w:fill="E2E8F0"/>
          </w:tcPr>
          <w:p>
            <w:r>
              <w:rPr>
                <w:b/>
              </w:rPr>
              <w:t>Component</w:t>
            </w:r>
          </w:p>
        </w:tc>
        <w:tc>
          <w:tcPr>
            <w:tcW w:type="dxa" w:w="3000"/>
            <w:shd w:fill="E2E8F0"/>
          </w:tcPr>
          <w:p>
            <w:r>
              <w:rPr>
                <w:b/>
              </w:rPr>
              <w:t>Minimum Requirement</w:t>
            </w:r>
          </w:p>
        </w:tc>
        <w:tc>
          <w:tcPr>
            <w:tcW w:type="dxa" w:w="3000"/>
            <w:shd w:fill="E2E8F0"/>
          </w:tcPr>
          <w:p>
            <w:r>
              <w:rPr>
                <w:b/>
              </w:rPr>
              <w:t>Recommended Specification</w:t>
            </w:r>
          </w:p>
        </w:tc>
      </w:tr>
      <w:tr>
        <w:tc>
          <w:tcPr>
            <w:tcW w:type="dxa" w:w="3000"/>
          </w:tcPr>
          <w:p>
            <w:r>
              <w:t>Processor</w:t>
            </w:r>
          </w:p>
        </w:tc>
        <w:tc>
          <w:tcPr>
            <w:tcW w:type="dxa" w:w="3000"/>
          </w:tcPr>
          <w:p>
            <w:r>
              <w:t>Dual-Core x64 Intel/AMD 2.0 GHz</w:t>
            </w:r>
          </w:p>
        </w:tc>
        <w:tc>
          <w:tcPr>
            <w:tcW w:type="dxa" w:w="3000"/>
          </w:tcPr>
          <w:p>
            <w:r>
              <w:t>Quad-Core Intel i5/i7 or AMD Ryzen 5+</w:t>
            </w:r>
          </w:p>
        </w:tc>
      </w:tr>
      <w:tr>
        <w:tc>
          <w:tcPr>
            <w:tcW w:type="dxa" w:w="3000"/>
          </w:tcPr>
          <w:p>
            <w:r>
              <w:t>System Memory (RAM)</w:t>
            </w:r>
          </w:p>
        </w:tc>
        <w:tc>
          <w:tcPr>
            <w:tcW w:type="dxa" w:w="3000"/>
          </w:tcPr>
          <w:p>
            <w:r>
              <w:t>4 GB DDR4</w:t>
            </w:r>
          </w:p>
        </w:tc>
        <w:tc>
          <w:tcPr>
            <w:tcW w:type="dxa" w:w="3000"/>
          </w:tcPr>
          <w:p>
            <w:r>
              <w:t>8 GB / 16 GB DDR4</w:t>
            </w:r>
          </w:p>
        </w:tc>
      </w:tr>
      <w:tr>
        <w:tc>
          <w:tcPr>
            <w:tcW w:type="dxa" w:w="3000"/>
          </w:tcPr>
          <w:p>
            <w:r>
              <w:t>Storage</w:t>
            </w:r>
          </w:p>
        </w:tc>
        <w:tc>
          <w:tcPr>
            <w:tcW w:type="dxa" w:w="3000"/>
          </w:tcPr>
          <w:p>
            <w:r>
              <w:t>2 GB available SSD space</w:t>
            </w:r>
          </w:p>
        </w:tc>
        <w:tc>
          <w:tcPr>
            <w:tcW w:type="dxa" w:w="3000"/>
          </w:tcPr>
          <w:p>
            <w:r>
              <w:t>10 GB NVMe SSD space</w:t>
            </w:r>
          </w:p>
        </w:tc>
      </w:tr>
      <w:tr>
        <w:tc>
          <w:tcPr>
            <w:tcW w:type="dxa" w:w="3000"/>
          </w:tcPr>
          <w:p>
            <w:r>
              <w:t>Network Adapter</w:t>
            </w:r>
          </w:p>
        </w:tc>
        <w:tc>
          <w:tcPr>
            <w:tcW w:type="dxa" w:w="3000"/>
          </w:tcPr>
          <w:p>
            <w:r>
              <w:t>Standard 10/100 Mbps Ethernet</w:t>
            </w:r>
          </w:p>
        </w:tc>
        <w:tc>
          <w:tcPr>
            <w:tcW w:type="dxa" w:w="3000"/>
          </w:tcPr>
          <w:p>
            <w:r>
              <w:t>Gigabit Ethernet (1000 Mbps) / Wi-Fi 6</w:t>
            </w:r>
          </w:p>
        </w:tc>
      </w:tr>
    </w:tbl>
    <w:p>
      <w:pPr>
        <w:spacing w:before="80" w:after="240" w:line="360" w:lineRule="auto"/>
        <w:jc w:val="center"/>
      </w:pPr>
      <w:r>
        <w:rPr>
          <w:rFonts w:ascii="Times New Roman" w:hAnsi="Times New Roman"/>
          <w:b w:val="0"/>
          <w:i/>
          <w:sz w:val="21"/>
        </w:rPr>
        <w:t>Table 3.1: Hardware Requirements Specification</w:t>
      </w:r>
    </w:p>
    <w:p>
      <w:pPr>
        <w:keepNext/>
        <w:spacing w:before="240" w:after="80"/>
        <w:jc w:val="left"/>
      </w:pPr>
      <w:r>
        <w:rPr>
          <w:rFonts w:ascii="Times New Roman" w:hAnsi="Times New Roman"/>
          <w:b/>
          <w:color w:val="000000"/>
          <w:sz w:val="24"/>
        </w:rPr>
        <w:t>3.2 Software Specification &amp; Tech Stack</w:t>
      </w:r>
    </w:p>
    <w:p>
      <w:pPr>
        <w:spacing w:before="0" w:after="120" w:line="360" w:lineRule="auto"/>
        <w:jc w:val="both"/>
      </w:pPr>
      <w:r>
        <w:rPr>
          <w:rFonts w:ascii="Times New Roman" w:hAnsi="Times New Roman"/>
          <w:b w:val="0"/>
          <w:i w:val="0"/>
          <w:sz w:val="24"/>
        </w:rPr>
        <w:t>The complete software runtime and framework specifications are detailed in Table 3.2:</w:t>
      </w:r>
    </w:p>
    <w:tbl>
      <w:tblPr>
        <w:tblW w:type="auto" w:w="0"/>
        <w:jc w:val="center"/>
        <w:tblLook w:firstColumn="1" w:firstRow="1" w:lastColumn="0" w:lastRow="0" w:noHBand="0" w:noVBand="1" w:val="04A0"/>
      </w:tblPr>
      <w:tblGrid>
        <w:gridCol w:w="3000"/>
        <w:gridCol w:w="3000"/>
        <w:gridCol w:w="3000"/>
      </w:tblGrid>
      <w:tr>
        <w:tc>
          <w:tcPr>
            <w:tcW w:type="dxa" w:w="3000"/>
            <w:shd w:fill="E2E8F0"/>
          </w:tcPr>
          <w:p>
            <w:r>
              <w:rPr>
                <w:b/>
              </w:rPr>
              <w:t>Layer / Domain</w:t>
            </w:r>
          </w:p>
        </w:tc>
        <w:tc>
          <w:tcPr>
            <w:tcW w:type="dxa" w:w="3000"/>
            <w:shd w:fill="E2E8F0"/>
          </w:tcPr>
          <w:p>
            <w:r>
              <w:rPr>
                <w:b/>
              </w:rPr>
              <w:t>Technology Selected</w:t>
            </w:r>
          </w:p>
        </w:tc>
        <w:tc>
          <w:tcPr>
            <w:tcW w:type="dxa" w:w="3000"/>
            <w:shd w:fill="E2E8F0"/>
          </w:tcPr>
          <w:p>
            <w:r>
              <w:rPr>
                <w:b/>
              </w:rPr>
              <w:t>Operational Version / Purpose</w:t>
            </w:r>
          </w:p>
        </w:tc>
      </w:tr>
      <w:tr>
        <w:tc>
          <w:tcPr>
            <w:tcW w:type="dxa" w:w="3000"/>
          </w:tcPr>
          <w:p>
            <w:r>
              <w:t>Programming Language</w:t>
            </w:r>
          </w:p>
        </w:tc>
        <w:tc>
          <w:tcPr>
            <w:tcW w:type="dxa" w:w="3000"/>
          </w:tcPr>
          <w:p>
            <w:r>
              <w:t>Python</w:t>
            </w:r>
          </w:p>
        </w:tc>
        <w:tc>
          <w:tcPr>
            <w:tcW w:type="dxa" w:w="3000"/>
          </w:tcPr>
          <w:p>
            <w:r>
              <w:t>Version 3.11.4 (Backend Runtime)</w:t>
            </w:r>
          </w:p>
        </w:tc>
      </w:tr>
      <w:tr>
        <w:tc>
          <w:tcPr>
            <w:tcW w:type="dxa" w:w="3000"/>
          </w:tcPr>
          <w:p>
            <w:r>
              <w:t>Web Framework</w:t>
            </w:r>
          </w:p>
        </w:tc>
        <w:tc>
          <w:tcPr>
            <w:tcW w:type="dxa" w:w="3000"/>
          </w:tcPr>
          <w:p>
            <w:r>
              <w:t>FastAPI / Uvicorn</w:t>
            </w:r>
          </w:p>
        </w:tc>
        <w:tc>
          <w:tcPr>
            <w:tcW w:type="dxa" w:w="3000"/>
          </w:tcPr>
          <w:p>
            <w:r>
              <w:t>Async RESTful API Services (v0.110+)</w:t>
            </w:r>
          </w:p>
        </w:tc>
      </w:tr>
      <w:tr>
        <w:tc>
          <w:tcPr>
            <w:tcW w:type="dxa" w:w="3000"/>
          </w:tcPr>
          <w:p>
            <w:r>
              <w:t>Machine Learning Engine</w:t>
            </w:r>
          </w:p>
        </w:tc>
        <w:tc>
          <w:tcPr>
            <w:tcW w:type="dxa" w:w="3000"/>
          </w:tcPr>
          <w:p>
            <w:r>
              <w:t>Scikit-Learn</w:t>
            </w:r>
          </w:p>
        </w:tc>
        <w:tc>
          <w:tcPr>
            <w:tcW w:type="dxa" w:w="3000"/>
          </w:tcPr>
          <w:p>
            <w:r>
              <w:t>Pure Isolation Forest &amp; Metrics (v1.4+)</w:t>
            </w:r>
          </w:p>
        </w:tc>
      </w:tr>
      <w:tr>
        <w:tc>
          <w:tcPr>
            <w:tcW w:type="dxa" w:w="3000"/>
          </w:tcPr>
          <w:p>
            <w:r>
              <w:t>Data Manipulation</w:t>
            </w:r>
          </w:p>
        </w:tc>
        <w:tc>
          <w:tcPr>
            <w:tcW w:type="dxa" w:w="3000"/>
          </w:tcPr>
          <w:p>
            <w:r>
              <w:t>Pandas &amp; NumPy</w:t>
            </w:r>
          </w:p>
        </w:tc>
        <w:tc>
          <w:tcPr>
            <w:tcW w:type="dxa" w:w="3000"/>
          </w:tcPr>
          <w:p>
            <w:r>
              <w:t>Numerical Flow Ingestion &amp; Array Cleaning</w:t>
            </w:r>
          </w:p>
        </w:tc>
      </w:tr>
      <w:tr>
        <w:tc>
          <w:tcPr>
            <w:tcW w:type="dxa" w:w="3000"/>
          </w:tcPr>
          <w:p>
            <w:r>
              <w:t>Database &amp; ORM</w:t>
            </w:r>
          </w:p>
        </w:tc>
        <w:tc>
          <w:tcPr>
            <w:tcW w:type="dxa" w:w="3000"/>
          </w:tcPr>
          <w:p>
            <w:r>
              <w:t>SQLite + SQLAlchemy</w:t>
            </w:r>
          </w:p>
        </w:tc>
        <w:tc>
          <w:tcPr>
            <w:tcW w:type="dxa" w:w="3000"/>
          </w:tcPr>
          <w:p>
            <w:r>
              <w:t>Relational Persistence &amp; Model History Audit</w:t>
            </w:r>
          </w:p>
        </w:tc>
      </w:tr>
      <w:tr>
        <w:tc>
          <w:tcPr>
            <w:tcW w:type="dxa" w:w="3000"/>
          </w:tcPr>
          <w:p>
            <w:r>
              <w:t>Frontend UI Framework</w:t>
            </w:r>
          </w:p>
        </w:tc>
        <w:tc>
          <w:tcPr>
            <w:tcW w:type="dxa" w:w="3000"/>
          </w:tcPr>
          <w:p>
            <w:r>
              <w:t>React 19 &amp; TypeScript</w:t>
            </w:r>
          </w:p>
        </w:tc>
        <w:tc>
          <w:tcPr>
            <w:tcW w:type="dxa" w:w="3000"/>
          </w:tcPr>
          <w:p>
            <w:r>
              <w:t>Component-Based Client-Side Application</w:t>
            </w:r>
          </w:p>
        </w:tc>
      </w:tr>
      <w:tr>
        <w:tc>
          <w:tcPr>
            <w:tcW w:type="dxa" w:w="3000"/>
          </w:tcPr>
          <w:p>
            <w:r>
              <w:t>Styling &amp; Visuals</w:t>
            </w:r>
          </w:p>
        </w:tc>
        <w:tc>
          <w:tcPr>
            <w:tcW w:type="dxa" w:w="3000"/>
          </w:tcPr>
          <w:p>
            <w:r>
              <w:t>Tailwind CSS &amp; Recharts</w:t>
            </w:r>
          </w:p>
        </w:tc>
        <w:tc>
          <w:tcPr>
            <w:tcW w:type="dxa" w:w="3000"/>
          </w:tcPr>
          <w:p>
            <w:r>
              <w:t>Cybersecurity Dark Theme &amp; Telemetry Charts</w:t>
            </w:r>
          </w:p>
        </w:tc>
      </w:tr>
    </w:tbl>
    <w:p>
      <w:pPr>
        <w:spacing w:before="80" w:after="240" w:line="360" w:lineRule="auto"/>
        <w:jc w:val="center"/>
      </w:pPr>
      <w:r>
        <w:rPr>
          <w:rFonts w:ascii="Times New Roman" w:hAnsi="Times New Roman"/>
          <w:b w:val="0"/>
          <w:i/>
          <w:sz w:val="21"/>
        </w:rPr>
        <w:t>Table 3.2: Software and Technology Stack Specifications</w:t>
      </w:r>
    </w:p>
    <w:p>
      <w:pPr>
        <w:keepNext/>
        <w:spacing w:before="240" w:after="80"/>
        <w:jc w:val="left"/>
      </w:pPr>
      <w:r>
        <w:rPr>
          <w:rFonts w:ascii="Times New Roman" w:hAnsi="Times New Roman"/>
          <w:b/>
          <w:color w:val="000000"/>
          <w:sz w:val="24"/>
        </w:rPr>
        <w:t>3.3 Multi-Tier System Architecture</w:t>
      </w:r>
    </w:p>
    <w:p>
      <w:pPr>
        <w:spacing w:before="0" w:after="120" w:line="360" w:lineRule="auto"/>
        <w:jc w:val="both"/>
      </w:pPr>
      <w:r>
        <w:rPr>
          <w:rFonts w:ascii="Times New Roman" w:hAnsi="Times New Roman"/>
          <w:b w:val="0"/>
          <w:i w:val="0"/>
          <w:sz w:val="24"/>
        </w:rPr>
        <w:t>ThreatScope is structured according to a modular, multi-tier decoupled architecture comprising four core operational tiers: Presentation Layer, Application API Gateway, Machine Learning Execution Core, and Persistent Storage Tier, as illustrated conceptually in Figure 3.1.</w:t>
      </w:r>
    </w:p>
    <w:tbl>
      <w:tblPr>
        <w:tblW w:type="auto" w:w="0"/>
        <w:jc w:val="center"/>
        <w:tblLook w:firstColumn="1" w:firstRow="1" w:lastColumn="0" w:lastRow="0" w:noHBand="0" w:noVBand="1" w:val="04A0"/>
      </w:tblPr>
      <w:tblGrid>
        <w:gridCol w:w="9000"/>
      </w:tblGrid>
      <w:tr>
        <w:tc>
          <w:tcPr>
            <w:tcW w:type="dxa" w:w="8352"/>
            <w:shd w:fill="F1F5F9"/>
            <w:tcMar>
              <w:top w:w="200" w:type="dxa"/>
              <w:bottom w:w="200" w:type="dxa"/>
              <w:left w:w="200" w:type="dxa"/>
              <w:right w:w="200" w:type="dxa"/>
            </w:tcMar>
          </w:tcPr>
          <w:p>
            <w:pPr>
              <w:spacing w:before="720" w:after="120"/>
              <w:jc w:val="center"/>
            </w:pPr>
            <w:r>
              <w:rPr>
                <w:b/>
                <w:color w:val="475569"/>
                <w:sz w:val="26"/>
              </w:rPr>
              <w:t>[ INSERT SCREENSHOT HERE ]</w:t>
              <w:br/>
            </w:r>
            <w:r>
              <w:rPr>
                <w:i/>
                <w:color w:val="64748B"/>
                <w:sz w:val="20"/>
              </w:rPr>
              <w:t>ThreatScope Multi-Tier System Architecture</w:t>
              <w:br/>
              <w:t>(Paste application screenshot inside this frame)</w:t>
            </w:r>
          </w:p>
          <w:p>
            <w:pPr>
              <w:spacing w:before="720"/>
            </w:pPr>
          </w:p>
        </w:tc>
      </w:tr>
    </w:tbl>
    <w:p>
      <w:pPr>
        <w:spacing w:before="120" w:after="80"/>
        <w:jc w:val="center"/>
      </w:pPr>
      <w:r>
        <w:rPr>
          <w:b/>
          <w:sz w:val="22"/>
        </w:rPr>
        <w:t>Figure 3.1: ThreatScope Multi-Tier System Architecture</w:t>
      </w:r>
    </w:p>
    <w:p>
      <w:pPr>
        <w:spacing w:after="240"/>
        <w:jc w:val="both"/>
      </w:pPr>
      <w:r>
        <w:rPr>
          <w:i/>
          <w:color w:val="334155"/>
          <w:sz w:val="21"/>
        </w:rPr>
        <w:t>Description: Illustrates data flows between React 19 Frontend, FastAPI Async REST Layer, Leak-Free ML Preprocessor, Isolation Forest Engine, and SQLite/Joblib storage.</w:t>
      </w:r>
    </w:p>
    <w:p>
      <w:pPr>
        <w:keepNext/>
        <w:spacing w:before="240" w:after="80"/>
        <w:jc w:val="left"/>
      </w:pPr>
      <w:r>
        <w:rPr>
          <w:rFonts w:ascii="Times New Roman" w:hAnsi="Times New Roman"/>
          <w:b/>
          <w:color w:val="000000"/>
          <w:sz w:val="24"/>
        </w:rPr>
        <w:t>3.4 Functional Requirements</w:t>
      </w:r>
    </w:p>
    <w:p>
      <w:pPr>
        <w:spacing w:before="0" w:after="120" w:line="360" w:lineRule="auto"/>
        <w:jc w:val="both"/>
      </w:pPr>
      <w:r>
        <w:rPr>
          <w:rFonts w:ascii="Times New Roman" w:hAnsi="Times New Roman"/>
          <w:b w:val="0"/>
          <w:i w:val="0"/>
          <w:sz w:val="24"/>
        </w:rPr>
        <w:t>• Dataset Ingestion &amp; Profiling: Ability to upload network traffic CSV files, inspect data types, missing counts, infinite counts, and preview records.</w:t>
      </w:r>
    </w:p>
    <w:p>
      <w:pPr>
        <w:spacing w:before="0" w:after="120" w:line="360" w:lineRule="auto"/>
        <w:jc w:val="both"/>
      </w:pPr>
      <w:r>
        <w:rPr>
          <w:rFonts w:ascii="Times New Roman" w:hAnsi="Times New Roman"/>
          <w:b w:val="0"/>
          <w:i w:val="0"/>
          <w:sz w:val="24"/>
        </w:rPr>
        <w:t>• Preprocessing &amp; Leak Prevention: Automated imputation of non-finite values, zero-variance feature elimination, and fit-on-train parameter locking.</w:t>
      </w:r>
    </w:p>
    <w:p>
      <w:pPr>
        <w:spacing w:before="0" w:after="120" w:line="360" w:lineRule="auto"/>
        <w:jc w:val="both"/>
      </w:pPr>
      <w:r>
        <w:rPr>
          <w:rFonts w:ascii="Times New Roman" w:hAnsi="Times New Roman"/>
          <w:b w:val="0"/>
          <w:i w:val="0"/>
          <w:sz w:val="24"/>
        </w:rPr>
        <w:t>• Model Training: Pure Isolation Forest training from scratch with configurable trees, contamination, random seeds, and automatic label exclusion.</w:t>
      </w:r>
    </w:p>
    <w:p>
      <w:pPr>
        <w:spacing w:before="0" w:after="120" w:line="360" w:lineRule="auto"/>
        <w:jc w:val="both"/>
      </w:pPr>
      <w:r>
        <w:rPr>
          <w:rFonts w:ascii="Times New Roman" w:hAnsi="Times New Roman"/>
          <w:b w:val="0"/>
          <w:i w:val="0"/>
          <w:sz w:val="24"/>
        </w:rPr>
        <w:t>• Held-Out Evaluation: Calculation of verified test Accuracy, Precision, Recall, F1, FPR, and visual Confusion Matrix on separate test datasets.</w:t>
      </w:r>
    </w:p>
    <w:p>
      <w:pPr>
        <w:spacing w:before="0" w:after="120" w:line="360" w:lineRule="auto"/>
        <w:jc w:val="both"/>
      </w:pPr>
      <w:r>
        <w:rPr>
          <w:rFonts w:ascii="Times New Roman" w:hAnsi="Times New Roman"/>
          <w:b w:val="0"/>
          <w:i w:val="0"/>
          <w:sz w:val="24"/>
        </w:rPr>
        <w:t>• Anomaly Scoring &amp; Live Detection: Continuous anomaly scoring (-decision_function), status tagging, score histogram rendering, and CSV result export.</w:t>
      </w:r>
    </w:p>
    <w:p>
      <w:pPr>
        <w:spacing w:before="0" w:after="120" w:line="360" w:lineRule="auto"/>
        <w:jc w:val="both"/>
      </w:pPr>
      <w:r>
        <w:rPr>
          <w:rFonts w:ascii="Times New Roman" w:hAnsi="Times New Roman"/>
          <w:b w:val="0"/>
          <w:i w:val="0"/>
          <w:sz w:val="24"/>
        </w:rPr>
        <w:t>• Adaptive Threshold Optimization: Research experiment comparing fixed vs. validation-optimized decision boundaries.</w:t>
      </w:r>
    </w:p>
    <w:p>
      <w:pPr>
        <w:keepNext/>
        <w:spacing w:before="240" w:after="80"/>
        <w:jc w:val="left"/>
      </w:pPr>
      <w:r>
        <w:rPr>
          <w:rFonts w:ascii="Times New Roman" w:hAnsi="Times New Roman"/>
          <w:b/>
          <w:color w:val="000000"/>
          <w:sz w:val="24"/>
        </w:rPr>
        <w:t>3.5 Non-Functional Requirements</w:t>
      </w:r>
    </w:p>
    <w:p>
      <w:pPr>
        <w:spacing w:before="0" w:after="120" w:line="360" w:lineRule="auto"/>
        <w:jc w:val="both"/>
      </w:pPr>
      <w:r>
        <w:rPr>
          <w:rFonts w:ascii="Times New Roman" w:hAnsi="Times New Roman"/>
          <w:b w:val="0"/>
          <w:i w:val="0"/>
          <w:sz w:val="24"/>
        </w:rPr>
        <w:t>• Performance &amp; Speed: Sub-second model training (&lt;1s) and low-latency inference (&lt;50ms for 500 flows) on standard consumer CPUs.</w:t>
      </w:r>
    </w:p>
    <w:p>
      <w:pPr>
        <w:spacing w:before="0" w:after="120" w:line="360" w:lineRule="auto"/>
        <w:jc w:val="both"/>
      </w:pPr>
      <w:r>
        <w:rPr>
          <w:rFonts w:ascii="Times New Roman" w:hAnsi="Times New Roman"/>
          <w:b w:val="0"/>
          <w:i w:val="0"/>
          <w:sz w:val="24"/>
        </w:rPr>
        <w:t>• Reliability &amp; Zero-Fabrication: Strict computational integrity ensuring zero hard-coded performance values or false metric displays.</w:t>
      </w:r>
    </w:p>
    <w:p>
      <w:pPr>
        <w:spacing w:before="0" w:after="120" w:line="360" w:lineRule="auto"/>
        <w:jc w:val="both"/>
      </w:pPr>
      <w:r>
        <w:rPr>
          <w:rFonts w:ascii="Times New Roman" w:hAnsi="Times New Roman"/>
          <w:b w:val="0"/>
          <w:i w:val="0"/>
          <w:sz w:val="24"/>
        </w:rPr>
        <w:t>• Fault Tolerance: Division-by-zero protection in all metric calculations preventing unhandled application exceptions.</w:t>
      </w:r>
    </w:p>
    <w:p>
      <w:pPr>
        <w:spacing w:before="0" w:after="120" w:line="360" w:lineRule="auto"/>
        <w:jc w:val="both"/>
      </w:pPr>
      <w:r>
        <w:rPr>
          <w:rFonts w:ascii="Times New Roman" w:hAnsi="Times New Roman"/>
          <w:b w:val="0"/>
          <w:i w:val="0"/>
          <w:sz w:val="24"/>
        </w:rPr>
        <w:t>• Security: File extension validation, 100MB upload limits, safe chunked file reading, and zero execution of uploaded CSVs as code.</w:t>
      </w:r>
    </w:p>
    <w:p>
      <w:r>
        <w:br w:type="page"/>
      </w:r>
    </w:p>
    <w:p>
      <w:pPr>
        <w:keepNext/>
        <w:spacing w:before="360" w:after="160"/>
        <w:jc w:val="left"/>
      </w:pPr>
      <w:r>
        <w:rPr>
          <w:rFonts w:ascii="Times New Roman" w:hAnsi="Times New Roman"/>
          <w:b/>
          <w:color w:val="000000"/>
          <w:sz w:val="28"/>
        </w:rPr>
        <w:t>CHAPTER 4</w:t>
        <w:br/>
        <w:t>DESIGN AND METHODOLOGY</w:t>
      </w:r>
    </w:p>
    <w:p>
      <w:pPr>
        <w:keepNext/>
        <w:spacing w:before="240" w:after="80"/>
        <w:jc w:val="left"/>
      </w:pPr>
      <w:r>
        <w:rPr>
          <w:rFonts w:ascii="Times New Roman" w:hAnsi="Times New Roman"/>
          <w:b/>
          <w:color w:val="000000"/>
          <w:sz w:val="24"/>
        </w:rPr>
        <w:t>4.1 Network Flow Dataset Characteristics</w:t>
      </w:r>
    </w:p>
    <w:p>
      <w:pPr>
        <w:spacing w:before="0" w:after="120" w:line="360" w:lineRule="auto"/>
        <w:jc w:val="both"/>
      </w:pPr>
      <w:r>
        <w:rPr>
          <w:rFonts w:ascii="Times New Roman" w:hAnsi="Times New Roman"/>
          <w:b w:val="0"/>
          <w:i w:val="0"/>
          <w:sz w:val="24"/>
        </w:rPr>
        <w:t>Network flow captures consolidate raw packet headers into bidirectional session records characterized by duration, packet frequencies, volumetric rates, and TCP state flags. ThreatScope natively supports benchmark datasets including CIC-IDS2017 and UNSW-NB15. Table 4.1 summarizes the key flow features extracted for anomaly modeling:</w:t>
      </w:r>
    </w:p>
    <w:tbl>
      <w:tblPr>
        <w:tblW w:type="auto" w:w="0"/>
        <w:jc w:val="center"/>
        <w:tblLook w:firstColumn="1" w:firstRow="1" w:lastColumn="0" w:lastRow="0" w:noHBand="0" w:noVBand="1" w:val="04A0"/>
      </w:tblPr>
      <w:tblGrid>
        <w:gridCol w:w="3000"/>
        <w:gridCol w:w="3000"/>
        <w:gridCol w:w="3000"/>
      </w:tblGrid>
      <w:tr>
        <w:tc>
          <w:tcPr>
            <w:tcW w:type="dxa" w:w="3000"/>
            <w:shd w:fill="E2E8F0"/>
          </w:tcPr>
          <w:p>
            <w:r>
              <w:rPr>
                <w:b/>
              </w:rPr>
              <w:t>Feature Name</w:t>
            </w:r>
          </w:p>
        </w:tc>
        <w:tc>
          <w:tcPr>
            <w:tcW w:type="dxa" w:w="3000"/>
            <w:shd w:fill="E2E8F0"/>
          </w:tcPr>
          <w:p>
            <w:r>
              <w:rPr>
                <w:b/>
              </w:rPr>
              <w:t>Data Type</w:t>
            </w:r>
          </w:p>
        </w:tc>
        <w:tc>
          <w:tcPr>
            <w:tcW w:type="dxa" w:w="3000"/>
            <w:shd w:fill="E2E8F0"/>
          </w:tcPr>
          <w:p>
            <w:r>
              <w:rPr>
                <w:b/>
              </w:rPr>
              <w:t>Behavioral Significance in Anomaly Detection</w:t>
            </w:r>
          </w:p>
        </w:tc>
      </w:tr>
      <w:tr>
        <w:tc>
          <w:tcPr>
            <w:tcW w:type="dxa" w:w="3000"/>
          </w:tcPr>
          <w:p>
            <w:r>
              <w:t>Flow Duration</w:t>
            </w:r>
          </w:p>
        </w:tc>
        <w:tc>
          <w:tcPr>
            <w:tcW w:type="dxa" w:w="3000"/>
          </w:tcPr>
          <w:p>
            <w:r>
              <w:t>Numeric (Float)</w:t>
            </w:r>
          </w:p>
        </w:tc>
        <w:tc>
          <w:tcPr>
            <w:tcW w:type="dxa" w:w="3000"/>
          </w:tcPr>
          <w:p>
            <w:r>
              <w:t>Session lifespan; DoS floods exhibit extreme short bursts; botnets exhibit long connections.</w:t>
            </w:r>
          </w:p>
        </w:tc>
      </w:tr>
      <w:tr>
        <w:tc>
          <w:tcPr>
            <w:tcW w:type="dxa" w:w="3000"/>
          </w:tcPr>
          <w:p>
            <w:r>
              <w:t>Total Fwd / Bwd Packets</w:t>
            </w:r>
          </w:p>
        </w:tc>
        <w:tc>
          <w:tcPr>
            <w:tcW w:type="dxa" w:w="3000"/>
          </w:tcPr>
          <w:p>
            <w:r>
              <w:t>Integer</w:t>
            </w:r>
          </w:p>
        </w:tc>
        <w:tc>
          <w:tcPr>
            <w:tcW w:type="dxa" w:w="3000"/>
          </w:tcPr>
          <w:p>
            <w:r>
              <w:t>Packet count symmetry; reconnaissance scans have zero backward packets.</w:t>
            </w:r>
          </w:p>
        </w:tc>
      </w:tr>
      <w:tr>
        <w:tc>
          <w:tcPr>
            <w:tcW w:type="dxa" w:w="3000"/>
          </w:tcPr>
          <w:p>
            <w:r>
              <w:t>Flow Bytes/s &amp; Packets/s</w:t>
            </w:r>
          </w:p>
        </w:tc>
        <w:tc>
          <w:tcPr>
            <w:tcW w:type="dxa" w:w="3000"/>
          </w:tcPr>
          <w:p>
            <w:r>
              <w:t>Numeric (Float)</w:t>
            </w:r>
          </w:p>
        </w:tc>
        <w:tc>
          <w:tcPr>
            <w:tcW w:type="dxa" w:w="3000"/>
          </w:tcPr>
          <w:p>
            <w:r>
              <w:t>Bandwidth intensity; volumetric attacks exhibit massive abnormal packet throughput.</w:t>
            </w:r>
          </w:p>
        </w:tc>
      </w:tr>
      <w:tr>
        <w:tc>
          <w:tcPr>
            <w:tcW w:type="dxa" w:w="3000"/>
          </w:tcPr>
          <w:p>
            <w:r>
              <w:t>Packet Length Mean &amp; Std</w:t>
            </w:r>
          </w:p>
        </w:tc>
        <w:tc>
          <w:tcPr>
            <w:tcW w:type="dxa" w:w="3000"/>
          </w:tcPr>
          <w:p>
            <w:r>
              <w:t>Numeric (Float)</w:t>
            </w:r>
          </w:p>
        </w:tc>
        <w:tc>
          <w:tcPr>
            <w:tcW w:type="dxa" w:w="3000"/>
          </w:tcPr>
          <w:p>
            <w:r>
              <w:t>Packet payload consistency; buffer overflows have large packets; probes have small packets.</w:t>
            </w:r>
          </w:p>
        </w:tc>
      </w:tr>
      <w:tr>
        <w:tc>
          <w:tcPr>
            <w:tcW w:type="dxa" w:w="3000"/>
          </w:tcPr>
          <w:p>
            <w:r>
              <w:t>SYN / ACK Flag Counts</w:t>
            </w:r>
          </w:p>
        </w:tc>
        <w:tc>
          <w:tcPr>
            <w:tcW w:type="dxa" w:w="3000"/>
          </w:tcPr>
          <w:p>
            <w:r>
              <w:t>Binary / Integer</w:t>
            </w:r>
          </w:p>
        </w:tc>
        <w:tc>
          <w:tcPr>
            <w:tcW w:type="dxa" w:w="3000"/>
          </w:tcPr>
          <w:p>
            <w:r>
              <w:t>TCP handshake telemetry; SYN-floods exhibit high SYN with zero matching ACKs.</w:t>
            </w:r>
          </w:p>
        </w:tc>
      </w:tr>
      <w:tr>
        <w:tc>
          <w:tcPr>
            <w:tcW w:type="dxa" w:w="3000"/>
          </w:tcPr>
          <w:p>
            <w:r>
              <w:t>Down/Up Ratio</w:t>
            </w:r>
          </w:p>
        </w:tc>
        <w:tc>
          <w:tcPr>
            <w:tcW w:type="dxa" w:w="3000"/>
          </w:tcPr>
          <w:p>
            <w:r>
              <w:t>Numeric (Float)</w:t>
            </w:r>
          </w:p>
        </w:tc>
        <w:tc>
          <w:tcPr>
            <w:tcW w:type="dxa" w:w="3000"/>
          </w:tcPr>
          <w:p>
            <w:r>
              <w:t>Traffic directionality; distinguishes media streaming from asymmetric exfiltration.</w:t>
            </w:r>
          </w:p>
        </w:tc>
      </w:tr>
    </w:tbl>
    <w:p>
      <w:pPr>
        <w:spacing w:before="80" w:after="240" w:line="360" w:lineRule="auto"/>
        <w:jc w:val="center"/>
      </w:pPr>
      <w:r>
        <w:rPr>
          <w:rFonts w:ascii="Times New Roman" w:hAnsi="Times New Roman"/>
          <w:b w:val="0"/>
          <w:i/>
          <w:sz w:val="21"/>
        </w:rPr>
        <w:t>Table 4.1: Key Extracted Features from CIC-IDS2017 Benchmark Dataset</w:t>
      </w:r>
    </w:p>
    <w:p>
      <w:pPr>
        <w:keepNext/>
        <w:spacing w:before="240" w:after="80"/>
        <w:jc w:val="left"/>
      </w:pPr>
      <w:r>
        <w:rPr>
          <w:rFonts w:ascii="Times New Roman" w:hAnsi="Times New Roman"/>
          <w:b/>
          <w:color w:val="000000"/>
          <w:sz w:val="24"/>
        </w:rPr>
        <w:t>4.2 Preprocessing Engine and Leakage Prevention Protocol</w:t>
      </w:r>
    </w:p>
    <w:p>
      <w:pPr>
        <w:spacing w:before="0" w:after="120" w:line="360" w:lineRule="auto"/>
        <w:jc w:val="both"/>
      </w:pPr>
      <w:r>
        <w:rPr>
          <w:rFonts w:ascii="Times New Roman" w:hAnsi="Times New Roman"/>
          <w:b/>
          <w:i w:val="0"/>
          <w:sz w:val="24"/>
        </w:rPr>
        <w:t>Network flow datasets frequently contain corrupted values, non-finite numbers, and zero-variance columns. ThreatScope implements a four-stage sanitization pipeline:</w:t>
      </w:r>
    </w:p>
    <w:p>
      <w:pPr>
        <w:spacing w:before="0" w:after="120" w:line="360" w:lineRule="auto"/>
        <w:jc w:val="both"/>
      </w:pPr>
      <w:r>
        <w:rPr>
          <w:rFonts w:ascii="Times New Roman" w:hAnsi="Times New Roman"/>
          <w:b w:val="0"/>
          <w:i w:val="0"/>
          <w:sz w:val="24"/>
        </w:rPr>
        <w:t>1. Conversion &amp; Infinity Sanitization: All feature columns are converted to numeric representations. Positive (+inf) and negative (-inf) infinities (arising from division by zero flow duration) are substituted with NaN.</w:t>
      </w:r>
    </w:p>
    <w:p>
      <w:pPr>
        <w:spacing w:before="0" w:after="120" w:line="360" w:lineRule="auto"/>
        <w:jc w:val="both"/>
      </w:pPr>
      <w:r>
        <w:rPr>
          <w:rFonts w:ascii="Times New Roman" w:hAnsi="Times New Roman"/>
          <w:b w:val="0"/>
          <w:i w:val="0"/>
          <w:sz w:val="24"/>
        </w:rPr>
        <w:t>2. Imputation: Missing values (NaN) are imputed using the column-wise median calculated strictly from training flows.</w:t>
      </w:r>
    </w:p>
    <w:p>
      <w:pPr>
        <w:spacing w:before="0" w:after="120" w:line="360" w:lineRule="auto"/>
        <w:jc w:val="both"/>
      </w:pPr>
      <w:r>
        <w:rPr>
          <w:rFonts w:ascii="Times New Roman" w:hAnsi="Times New Roman"/>
          <w:b w:val="0"/>
          <w:i w:val="0"/>
          <w:sz w:val="24"/>
        </w:rPr>
        <w:t>3. Constant Column Elimination: Columns exhibiting zero variance (std = 0 or unique count &lt;= 1) provide no discriminatory power and are automatically dropped.</w:t>
      </w:r>
    </w:p>
    <w:p>
      <w:pPr>
        <w:spacing w:before="0" w:after="120" w:line="360" w:lineRule="auto"/>
        <w:jc w:val="both"/>
      </w:pPr>
      <w:r>
        <w:rPr>
          <w:rFonts w:ascii="Times New Roman" w:hAnsi="Times New Roman"/>
          <w:b w:val="0"/>
          <w:i w:val="0"/>
          <w:sz w:val="24"/>
        </w:rPr>
        <w:t>4. Feature Standardization: Active numerical features are scaled using StandardScaler: z = (x - mu) / sigma.</w:t>
      </w:r>
    </w:p>
    <w:p>
      <w:pPr>
        <w:spacing w:before="0" w:after="120" w:line="360" w:lineRule="auto"/>
        <w:jc w:val="both"/>
      </w:pPr>
      <w:r>
        <w:rPr>
          <w:rFonts w:ascii="Times New Roman" w:hAnsi="Times New Roman"/>
          <w:b w:val="0"/>
          <w:i w:val="0"/>
          <w:sz w:val="24"/>
        </w:rPr>
        <w:t>The fundamental methodological safeguard enforced in ThreatScope is the Strict Leak-Free Contract: all median and scaling parameters (mu, sigma) are computed solely from training records. The fitted preprocessor is serialized into a .joblib artifact. Subsequent validation partitions, test partitions, and detection streams are transformed exclusively using these frozen parameters, completely eliminating test data leakage, as depicted in Figure 4.2.</w:t>
      </w:r>
    </w:p>
    <w:tbl>
      <w:tblPr>
        <w:tblW w:type="auto" w:w="0"/>
        <w:jc w:val="center"/>
        <w:tblLook w:firstColumn="1" w:firstRow="1" w:lastColumn="0" w:lastRow="0" w:noHBand="0" w:noVBand="1" w:val="04A0"/>
      </w:tblPr>
      <w:tblGrid>
        <w:gridCol w:w="9000"/>
      </w:tblGrid>
      <w:tr>
        <w:tc>
          <w:tcPr>
            <w:tcW w:type="dxa" w:w="8352"/>
            <w:shd w:fill="F1F5F9"/>
            <w:tcMar>
              <w:top w:w="200" w:type="dxa"/>
              <w:bottom w:w="200" w:type="dxa"/>
              <w:left w:w="200" w:type="dxa"/>
              <w:right w:w="200" w:type="dxa"/>
            </w:tcMar>
          </w:tcPr>
          <w:p>
            <w:pPr>
              <w:spacing w:before="720" w:after="120"/>
              <w:jc w:val="center"/>
            </w:pPr>
            <w:r>
              <w:rPr>
                <w:b/>
                <w:color w:val="475569"/>
                <w:sz w:val="26"/>
              </w:rPr>
              <w:t>[ INSERT SCREENSHOT HERE ]</w:t>
              <w:br/>
            </w:r>
            <w:r>
              <w:rPr>
                <w:i/>
                <w:color w:val="64748B"/>
                <w:sz w:val="20"/>
              </w:rPr>
              <w:t>Leak-Free Training, Validation, and Testing Data Flow</w:t>
              <w:br/>
              <w:t>(Paste application screenshot inside this frame)</w:t>
            </w:r>
          </w:p>
          <w:p>
            <w:pPr>
              <w:spacing w:before="720"/>
            </w:pPr>
          </w:p>
        </w:tc>
      </w:tr>
    </w:tbl>
    <w:p>
      <w:pPr>
        <w:spacing w:before="120" w:after="80"/>
        <w:jc w:val="center"/>
      </w:pPr>
      <w:r>
        <w:rPr>
          <w:b/>
          <w:sz w:val="22"/>
        </w:rPr>
        <w:t>Figure 4.2: Leak-Free Training, Validation, and Testing Data Flow</w:t>
      </w:r>
    </w:p>
    <w:p>
      <w:pPr>
        <w:spacing w:after="240"/>
        <w:jc w:val="both"/>
      </w:pPr>
      <w:r>
        <w:rPr>
          <w:i/>
          <w:color w:val="334155"/>
          <w:sz w:val="21"/>
        </w:rPr>
        <w:t>Description: Diagram illustrating how preprocessor parameters are fitted on training data only and frozen before transforming validation, test, and detection data.</w:t>
      </w:r>
    </w:p>
    <w:p>
      <w:pPr>
        <w:keepNext/>
        <w:spacing w:before="240" w:after="80"/>
        <w:jc w:val="left"/>
      </w:pPr>
      <w:r>
        <w:rPr>
          <w:rFonts w:ascii="Times New Roman" w:hAnsi="Times New Roman"/>
          <w:b/>
          <w:color w:val="000000"/>
          <w:sz w:val="24"/>
        </w:rPr>
        <w:t>4.3 Mathematical Formulation of Isolation Forest</w:t>
      </w:r>
    </w:p>
    <w:p>
      <w:pPr>
        <w:spacing w:before="0" w:after="120" w:line="360" w:lineRule="auto"/>
        <w:jc w:val="both"/>
      </w:pPr>
      <w:r>
        <w:rPr>
          <w:rFonts w:ascii="Times New Roman" w:hAnsi="Times New Roman"/>
          <w:b/>
          <w:i w:val="0"/>
          <w:sz w:val="24"/>
        </w:rPr>
        <w:t>Isolation Forest constructs an ensemble of Isolation Trees (iTrees) over small sub-samples (psi = 256). Unlike conventional decision trees that split on information gain or Gini impurity, iTrees split completely at random across feature dimensions. The mathematical formulation is as follows:</w:t>
      </w:r>
    </w:p>
    <w:p>
      <w:pPr>
        <w:spacing w:before="0" w:after="120" w:line="360" w:lineRule="auto"/>
        <w:jc w:val="both"/>
      </w:pPr>
      <w:r>
        <w:rPr>
          <w:rFonts w:ascii="Times New Roman" w:hAnsi="Times New Roman"/>
          <w:b w:val="0"/>
          <w:i w:val="0"/>
          <w:sz w:val="24"/>
        </w:rPr>
        <w:t>Given a dataset D of n instances in a d-dimensional space, an iTree is recursively grown by: 1. Randomly choosing an attribute q from feature space {1, ..., d}. 2. Randomly selecting a split threshold p uniformly between min(q) and max(q). 3. Dividing instances into left (x[q] &lt; p) and right (x[q] &gt;= p) partitions until an instance is isolated or max depth h_max = ceil(log2(psi)) is reached.</w:t>
      </w:r>
    </w:p>
    <w:p>
      <w:pPr>
        <w:spacing w:before="0" w:after="120" w:line="360" w:lineRule="auto"/>
        <w:jc w:val="both"/>
      </w:pPr>
      <w:r>
        <w:rPr>
          <w:rFonts w:ascii="Times New Roman" w:hAnsi="Times New Roman"/>
          <w:b/>
          <w:i w:val="0"/>
          <w:sz w:val="24"/>
        </w:rPr>
        <w:t>For any instance x, its path length h(x) is the number of edges traversed from root to terminating leaf. The expected path length of a binary search tree of size n is:</w:t>
      </w:r>
    </w:p>
    <w:p>
      <w:pPr>
        <w:spacing w:before="0" w:after="120" w:line="360" w:lineRule="auto"/>
        <w:jc w:val="center"/>
      </w:pPr>
      <w:r>
        <w:rPr>
          <w:rFonts w:ascii="Times New Roman" w:hAnsi="Times New Roman"/>
          <w:b/>
          <w:i w:val="0"/>
          <w:sz w:val="24"/>
        </w:rPr>
        <w:t>c(n) = 2 * ln(n - 1) + 2 * gamma - (2 * (n - 1) / n)</w:t>
      </w:r>
    </w:p>
    <w:p>
      <w:pPr>
        <w:spacing w:before="0" w:after="120" w:line="360" w:lineRule="auto"/>
        <w:jc w:val="both"/>
      </w:pPr>
      <w:r>
        <w:rPr>
          <w:rFonts w:ascii="Times New Roman" w:hAnsi="Times New Roman"/>
          <w:b w:val="0"/>
          <w:i w:val="0"/>
          <w:sz w:val="24"/>
        </w:rPr>
        <w:t>where gamma = 0.5772156649 is the Euler-Mascheroni constant. c(n) serves as the normalizing average path length.</w:t>
      </w:r>
    </w:p>
    <w:p>
      <w:pPr>
        <w:spacing w:before="0" w:after="120" w:line="360" w:lineRule="auto"/>
        <w:jc w:val="both"/>
      </w:pPr>
      <w:r>
        <w:rPr>
          <w:rFonts w:ascii="Times New Roman" w:hAnsi="Times New Roman"/>
          <w:b w:val="0"/>
          <w:i w:val="0"/>
          <w:sz w:val="24"/>
        </w:rPr>
        <w:t>The normalized anomaly score s(x, n) is mathematically formulated as:</w:t>
      </w:r>
    </w:p>
    <w:p>
      <w:pPr>
        <w:spacing w:before="0" w:after="120" w:line="360" w:lineRule="auto"/>
        <w:jc w:val="center"/>
      </w:pPr>
      <w:r>
        <w:rPr>
          <w:rFonts w:ascii="Times New Roman" w:hAnsi="Times New Roman"/>
          <w:b/>
          <w:i w:val="0"/>
          <w:sz w:val="24"/>
        </w:rPr>
        <w:t>s(x, n) = 2 ^ ( - E(h(x)) / c(n) )</w:t>
      </w:r>
    </w:p>
    <w:p>
      <w:pPr>
        <w:spacing w:before="0" w:after="120" w:line="360" w:lineRule="auto"/>
        <w:jc w:val="both"/>
      </w:pPr>
      <w:r>
        <w:rPr>
          <w:rFonts w:ascii="Times New Roman" w:hAnsi="Times New Roman"/>
          <w:b w:val="0"/>
          <w:i w:val="0"/>
          <w:sz w:val="24"/>
        </w:rPr>
        <w:t>• If E(h(x)) -&gt; 0, s -&gt; 1: Instance isolates very quickly near the root; highly anomalous.</w:t>
        <w:br/>
        <w:t>• If E(h(x)) -&gt; c(n), s -&gt; 0.5: Instance exhibits average depth; normal behavior.</w:t>
        <w:br/>
        <w:t>• If E(h(x)) -&gt; n - 1, s -&gt; 0: Instance requires deep partitioning; completely normal cluster.</w:t>
      </w:r>
    </w:p>
    <w:p>
      <w:pPr>
        <w:keepNext/>
        <w:spacing w:before="240" w:after="80"/>
        <w:jc w:val="left"/>
      </w:pPr>
      <w:r>
        <w:rPr>
          <w:rFonts w:ascii="Times New Roman" w:hAnsi="Times New Roman"/>
          <w:b/>
          <w:color w:val="000000"/>
          <w:sz w:val="24"/>
        </w:rPr>
        <w:t>4.4 Anomaly Scoring and Continuous Threat Quantification</w:t>
      </w:r>
    </w:p>
    <w:p>
      <w:pPr>
        <w:spacing w:before="0" w:after="120" w:line="360" w:lineRule="auto"/>
        <w:jc w:val="both"/>
      </w:pPr>
      <w:r>
        <w:rPr>
          <w:rFonts w:ascii="Times New Roman" w:hAnsi="Times New Roman"/>
          <w:b w:val="0"/>
          <w:i w:val="0"/>
          <w:sz w:val="24"/>
        </w:rPr>
        <w:t>In ThreatScope, continuous anomaly scores are quantified using the inverted decision function: Anomaly_Score = -decision_function(X). By convention in scikit-learn, decision_function returns negative values for outliers. By negating this function, higher positive values indicate higher anomaly likelihood. The standard decision cutoff is established at 0.0, corresponding precisely to the user-configured contamination parameter (e.g., 0.05).</w:t>
      </w:r>
    </w:p>
    <w:p>
      <w:pPr>
        <w:keepNext/>
        <w:spacing w:before="240" w:after="80"/>
        <w:jc w:val="left"/>
      </w:pPr>
      <w:r>
        <w:rPr>
          <w:rFonts w:ascii="Times New Roman" w:hAnsi="Times New Roman"/>
          <w:b/>
          <w:color w:val="000000"/>
          <w:sz w:val="24"/>
        </w:rPr>
        <w:t>4.5 Rigorous Evaluation Metrics &amp; Confusion Matrix</w:t>
      </w:r>
    </w:p>
    <w:p>
      <w:pPr>
        <w:spacing w:before="0" w:after="120" w:line="360" w:lineRule="auto"/>
        <w:jc w:val="both"/>
      </w:pPr>
      <w:r>
        <w:rPr>
          <w:rFonts w:ascii="Times New Roman" w:hAnsi="Times New Roman"/>
          <w:b w:val="0"/>
          <w:i w:val="0"/>
          <w:sz w:val="24"/>
        </w:rPr>
        <w:t>To guarantee absolute academic integrity, all evaluation metrics are computed live strictly on held-out test datasets. The explicit label mapping converts diverse attack categories into binary targets:</w:t>
      </w:r>
    </w:p>
    <w:tbl>
      <w:tblPr>
        <w:tblW w:type="auto" w:w="0"/>
        <w:jc w:val="center"/>
        <w:tblLook w:firstColumn="1" w:firstRow="1" w:lastColumn="0" w:lastRow="0" w:noHBand="0" w:noVBand="1" w:val="04A0"/>
      </w:tblPr>
      <w:tblGrid>
        <w:gridCol w:w="3000"/>
        <w:gridCol w:w="3000"/>
        <w:gridCol w:w="3000"/>
      </w:tblGrid>
      <w:tr>
        <w:tc>
          <w:tcPr>
            <w:tcW w:type="dxa" w:w="3000"/>
            <w:shd w:fill="E2E8F0"/>
          </w:tcPr>
          <w:p>
            <w:r>
              <w:rPr>
                <w:b/>
              </w:rPr>
              <w:t>Raw Dataset Label</w:t>
            </w:r>
          </w:p>
        </w:tc>
        <w:tc>
          <w:tcPr>
            <w:tcW w:type="dxa" w:w="3000"/>
            <w:shd w:fill="E2E8F0"/>
          </w:tcPr>
          <w:p>
            <w:r>
              <w:rPr>
                <w:b/>
              </w:rPr>
              <w:t>Binary Category</w:t>
            </w:r>
          </w:p>
        </w:tc>
        <w:tc>
          <w:tcPr>
            <w:tcW w:type="dxa" w:w="3000"/>
            <w:shd w:fill="E2E8F0"/>
          </w:tcPr>
          <w:p>
            <w:r>
              <w:rPr>
                <w:b/>
              </w:rPr>
              <w:t>Evaluation Role</w:t>
            </w:r>
          </w:p>
        </w:tc>
      </w:tr>
      <w:tr>
        <w:tc>
          <w:tcPr>
            <w:tcW w:type="dxa" w:w="3000"/>
          </w:tcPr>
          <w:p>
            <w:r>
              <w:t>BENIGN / Normal / 0</w:t>
            </w:r>
          </w:p>
        </w:tc>
        <w:tc>
          <w:tcPr>
            <w:tcW w:type="dxa" w:w="3000"/>
          </w:tcPr>
          <w:p>
            <w:r>
              <w:t>Normal (Negative Class = 0)</w:t>
            </w:r>
          </w:p>
        </w:tc>
        <w:tc>
          <w:tcPr>
            <w:tcW w:type="dxa" w:w="3000"/>
          </w:tcPr>
          <w:p>
            <w:r>
              <w:t>Baseline non-malicious network activity</w:t>
            </w:r>
          </w:p>
        </w:tc>
      </w:tr>
      <w:tr>
        <w:tc>
          <w:tcPr>
            <w:tcW w:type="dxa" w:w="3000"/>
          </w:tcPr>
          <w:p>
            <w:r>
              <w:t>DoS / DDoS</w:t>
            </w:r>
          </w:p>
        </w:tc>
        <w:tc>
          <w:tcPr>
            <w:tcW w:type="dxa" w:w="3000"/>
          </w:tcPr>
          <w:p>
            <w:r>
              <w:t>Attack (Positive Class = 1)</w:t>
            </w:r>
          </w:p>
        </w:tc>
        <w:tc>
          <w:tcPr>
            <w:tcW w:type="dxa" w:w="3000"/>
          </w:tcPr>
          <w:p>
            <w:r>
              <w:t>Volumetric denial-of-service flood attack</w:t>
            </w:r>
          </w:p>
        </w:tc>
      </w:tr>
      <w:tr>
        <w:tc>
          <w:tcPr>
            <w:tcW w:type="dxa" w:w="3000"/>
          </w:tcPr>
          <w:p>
            <w:r>
              <w:t>PortScan / Probe</w:t>
            </w:r>
          </w:p>
        </w:tc>
        <w:tc>
          <w:tcPr>
            <w:tcW w:type="dxa" w:w="3000"/>
          </w:tcPr>
          <w:p>
            <w:r>
              <w:t>Attack (Positive Class = 1)</w:t>
            </w:r>
          </w:p>
        </w:tc>
        <w:tc>
          <w:tcPr>
            <w:tcW w:type="dxa" w:w="3000"/>
          </w:tcPr>
          <w:p>
            <w:r>
              <w:t>Host discovery and network reconnaissance scan</w:t>
            </w:r>
          </w:p>
        </w:tc>
      </w:tr>
      <w:tr>
        <w:tc>
          <w:tcPr>
            <w:tcW w:type="dxa" w:w="3000"/>
          </w:tcPr>
          <w:p>
            <w:r>
              <w:t>Bot / Botnet C&amp;C</w:t>
            </w:r>
          </w:p>
        </w:tc>
        <w:tc>
          <w:tcPr>
            <w:tcW w:type="dxa" w:w="3000"/>
          </w:tcPr>
          <w:p>
            <w:r>
              <w:t>Attack (Positive Class = 1)</w:t>
            </w:r>
          </w:p>
        </w:tc>
        <w:tc>
          <w:tcPr>
            <w:tcW w:type="dxa" w:w="3000"/>
          </w:tcPr>
          <w:p>
            <w:r>
              <w:t>Automated compromised host command communication</w:t>
            </w:r>
          </w:p>
        </w:tc>
      </w:tr>
    </w:tbl>
    <w:p>
      <w:pPr>
        <w:spacing w:before="80" w:after="240" w:line="360" w:lineRule="auto"/>
        <w:jc w:val="center"/>
      </w:pPr>
      <w:r>
        <w:rPr>
          <w:rFonts w:ascii="Times New Roman" w:hAnsi="Times New Roman"/>
          <w:b w:val="0"/>
          <w:i/>
          <w:sz w:val="21"/>
        </w:rPr>
        <w:t>Table 4.2: Standard Binary Mapping Protocol for Multi-Class Attack Labels</w:t>
      </w:r>
    </w:p>
    <w:p>
      <w:pPr>
        <w:spacing w:before="0" w:after="120" w:line="360" w:lineRule="auto"/>
        <w:jc w:val="both"/>
      </w:pPr>
      <w:r>
        <w:rPr>
          <w:rFonts w:ascii="Times New Roman" w:hAnsi="Times New Roman"/>
          <w:b w:val="0"/>
          <w:i w:val="0"/>
          <w:sz w:val="24"/>
        </w:rPr>
        <w:t>The mathematical formulations evaluated on held-out test data are:</w:t>
        <w:br/>
        <w:t>• Accuracy = (TP + TN) / (TP + TN + FP + FN) * 100</w:t>
        <w:br/>
        <w:t>• Precision = TP / (TP + FP)   [Alert validity: proportion of alerts that are real attacks]</w:t>
        <w:br/>
        <w:t>• Recall = TP / (TP + FN)      [Detection rate: proportion of real attacks detected]</w:t>
        <w:br/>
        <w:t>• F1-Score = 2 * (Precision * Recall) / (Precision + Recall)   [Harmonic balance]</w:t>
        <w:br/>
        <w:t>• False-Positive Rate = FP / (FP + TN)   [Critical for avoiding SOC alert fatigue]</w:t>
        <w:br/>
        <w:t>All calculations implement explicit zero-division safeguards: if denominators equal zero, metrics safely return 0.0 rather than raising NaN exceptions.</w:t>
      </w:r>
    </w:p>
    <w:p>
      <w:pPr>
        <w:keepNext/>
        <w:spacing w:before="240" w:after="80"/>
        <w:jc w:val="left"/>
      </w:pPr>
      <w:r>
        <w:rPr>
          <w:rFonts w:ascii="Times New Roman" w:hAnsi="Times New Roman"/>
          <w:b/>
          <w:color w:val="000000"/>
          <w:sz w:val="24"/>
        </w:rPr>
        <w:t>4.6 Adaptive Threshold Optimization Research Protocol</w:t>
      </w:r>
    </w:p>
    <w:p>
      <w:pPr>
        <w:spacing w:before="0" w:after="120" w:line="360" w:lineRule="auto"/>
        <w:jc w:val="both"/>
      </w:pPr>
      <w:r>
        <w:rPr>
          <w:rFonts w:ascii="Times New Roman" w:hAnsi="Times New Roman"/>
          <w:b/>
          <w:i w:val="0"/>
          <w:sz w:val="24"/>
        </w:rPr>
        <w:t>As an academic research extension, ThreatScope introduces an adaptive threshold experiment investigating whether fixed decision boundaries (0.0) are suboptimal. The experimental protocol operates as follows:</w:t>
      </w:r>
    </w:p>
    <w:p>
      <w:pPr>
        <w:spacing w:before="0" w:after="120" w:line="360" w:lineRule="auto"/>
        <w:jc w:val="both"/>
      </w:pPr>
      <w:r>
        <w:rPr>
          <w:rFonts w:ascii="Times New Roman" w:hAnsi="Times New Roman"/>
          <w:b w:val="0"/>
          <w:i w:val="0"/>
          <w:sz w:val="24"/>
        </w:rPr>
        <w:t>1. Isolation Forest is trained normally on the training partition.</w:t>
      </w:r>
    </w:p>
    <w:p>
      <w:pPr>
        <w:spacing w:before="0" w:after="120" w:line="360" w:lineRule="auto"/>
        <w:jc w:val="both"/>
      </w:pPr>
      <w:r>
        <w:rPr>
          <w:rFonts w:ascii="Times New Roman" w:hAnsi="Times New Roman"/>
          <w:b w:val="0"/>
          <w:i w:val="0"/>
          <w:sz w:val="24"/>
        </w:rPr>
        <w:t>2. Anomaly scores are computed for a dedicated, separate validation partition.</w:t>
      </w:r>
    </w:p>
    <w:p>
      <w:pPr>
        <w:spacing w:before="0" w:after="120" w:line="360" w:lineRule="auto"/>
        <w:jc w:val="both"/>
      </w:pPr>
      <w:r>
        <w:rPr>
          <w:rFonts w:ascii="Times New Roman" w:hAnsi="Times New Roman"/>
          <w:b w:val="0"/>
          <w:i w:val="0"/>
          <w:sz w:val="24"/>
        </w:rPr>
        <w:t>3. An optimal decision threshold is discovered exclusively on validation data according to a user-specified objective (e.g., F1 maximization or Precision @ Recall &gt;= 85%).</w:t>
      </w:r>
    </w:p>
    <w:p>
      <w:pPr>
        <w:spacing w:before="0" w:after="120" w:line="360" w:lineRule="auto"/>
        <w:jc w:val="both"/>
      </w:pPr>
      <w:r>
        <w:rPr>
          <w:rFonts w:ascii="Times New Roman" w:hAnsi="Times New Roman"/>
          <w:b w:val="0"/>
          <w:i w:val="0"/>
          <w:sz w:val="24"/>
        </w:rPr>
        <w:t>4. The discovered adaptive threshold is frozen.</w:t>
      </w:r>
    </w:p>
    <w:p>
      <w:pPr>
        <w:spacing w:before="0" w:after="120" w:line="360" w:lineRule="auto"/>
        <w:jc w:val="both"/>
      </w:pPr>
      <w:r>
        <w:rPr>
          <w:rFonts w:ascii="Times New Roman" w:hAnsi="Times New Roman"/>
          <w:b w:val="0"/>
          <w:i w:val="0"/>
          <w:sz w:val="24"/>
        </w:rPr>
        <w:t>5. Both the fixed threshold (0.0) and the frozen adaptive threshold are evaluated on the identical held-out test dataset.</w:t>
      </w:r>
    </w:p>
    <w:p>
      <w:pPr>
        <w:spacing w:before="0" w:after="120" w:line="360" w:lineRule="auto"/>
        <w:jc w:val="both"/>
      </w:pPr>
      <w:r>
        <w:rPr>
          <w:rFonts w:ascii="Times New Roman" w:hAnsi="Times New Roman"/>
          <w:b w:val="0"/>
          <w:i w:val="0"/>
          <w:sz w:val="24"/>
        </w:rPr>
        <w:t>6. Exact metric differences (Delta = Adaptive - Fixed) are reported transparently without claiming superiority unless empirical data proves it.</w:t>
      </w:r>
    </w:p>
    <w:p>
      <w:r>
        <w:br w:type="page"/>
      </w:r>
    </w:p>
    <w:p>
      <w:pPr>
        <w:keepNext/>
        <w:spacing w:before="360" w:after="160"/>
        <w:jc w:val="left"/>
      </w:pPr>
      <w:r>
        <w:rPr>
          <w:rFonts w:ascii="Times New Roman" w:hAnsi="Times New Roman"/>
          <w:b/>
          <w:color w:val="000000"/>
          <w:sz w:val="28"/>
        </w:rPr>
        <w:t>CHAPTER 5</w:t>
        <w:br/>
        <w:t>IMPLEMENTATION AND EXPERIMENTAL RESULTS</w:t>
      </w:r>
    </w:p>
    <w:p>
      <w:pPr>
        <w:keepNext/>
        <w:spacing w:before="240" w:after="80"/>
        <w:jc w:val="left"/>
      </w:pPr>
      <w:r>
        <w:rPr>
          <w:rFonts w:ascii="Times New Roman" w:hAnsi="Times New Roman"/>
          <w:b/>
          <w:color w:val="000000"/>
          <w:sz w:val="24"/>
        </w:rPr>
        <w:t>5.1 System Modules Implementation</w:t>
      </w:r>
    </w:p>
    <w:p>
      <w:pPr>
        <w:spacing w:before="0" w:after="120" w:line="360" w:lineRule="auto"/>
        <w:jc w:val="both"/>
      </w:pPr>
      <w:r>
        <w:rPr>
          <w:rFonts w:ascii="Times New Roman" w:hAnsi="Times New Roman"/>
          <w:b w:val="0"/>
          <w:i w:val="0"/>
          <w:sz w:val="24"/>
        </w:rPr>
        <w:t>ThreatScope is implemented as a cohesive full-stack software application organized into distinct functional modules: 1. Dataset Management Module: Handles safe chunked multipart CSV uploads, profiles column schemas, identifies potential target labels, and generates synthetic CIC-IDS2017 flow benchmarks. 2. Training Module: Executes pure Isolation Forest training with interactive hyperparameter sliders and target column stripping. 3. Evaluation Module: Executes held-out test evaluations and renders interactive confusion matrix heatmaps. 4. Live Detection Module: Computes real-time anomaly scores, plots 15-bin dynamic score distribution histograms, and streams audited CSV reports. 5. Adaptive Lab Module: Executes validation-only threshold tuning experiments.</w:t>
      </w:r>
    </w:p>
    <w:p>
      <w:pPr>
        <w:keepNext/>
        <w:spacing w:before="240" w:after="80"/>
        <w:jc w:val="left"/>
      </w:pPr>
      <w:r>
        <w:rPr>
          <w:rFonts w:ascii="Times New Roman" w:hAnsi="Times New Roman"/>
          <w:b/>
          <w:color w:val="000000"/>
          <w:sz w:val="24"/>
        </w:rPr>
        <w:t>5.2 User Interface &amp; Implementation Screenshots</w:t>
      </w:r>
    </w:p>
    <w:p>
      <w:pPr>
        <w:spacing w:before="0" w:after="120" w:line="360" w:lineRule="auto"/>
        <w:jc w:val="both"/>
      </w:pPr>
      <w:r>
        <w:rPr>
          <w:rFonts w:ascii="Times New Roman" w:hAnsi="Times New Roman"/>
          <w:b w:val="0"/>
          <w:i w:val="0"/>
          <w:sz w:val="24"/>
        </w:rPr>
        <w:t>This section documents the visual implementation of the ThreatScope web application across its core operational modules. Screenshots are integrated within the designated frames below:</w:t>
      </w:r>
    </w:p>
    <w:tbl>
      <w:tblPr>
        <w:tblW w:type="auto" w:w="0"/>
        <w:jc w:val="center"/>
        <w:tblLook w:firstColumn="1" w:firstRow="1" w:lastColumn="0" w:lastRow="0" w:noHBand="0" w:noVBand="1" w:val="04A0"/>
      </w:tblPr>
      <w:tblGrid>
        <w:gridCol w:w="9000"/>
      </w:tblGrid>
      <w:tr>
        <w:tc>
          <w:tcPr>
            <w:tcW w:type="dxa" w:w="8352"/>
            <w:shd w:fill="F1F5F9"/>
            <w:tcMar>
              <w:top w:w="200" w:type="dxa"/>
              <w:bottom w:w="200" w:type="dxa"/>
              <w:left w:w="200" w:type="dxa"/>
              <w:right w:w="200" w:type="dxa"/>
            </w:tcMar>
          </w:tcPr>
          <w:p>
            <w:pPr>
              <w:spacing w:before="720" w:after="120"/>
              <w:jc w:val="center"/>
            </w:pPr>
            <w:r>
              <w:rPr>
                <w:b/>
                <w:color w:val="475569"/>
                <w:sz w:val="26"/>
              </w:rPr>
              <w:t>[ INSERT SCREENSHOT HERE ]</w:t>
              <w:br/>
            </w:r>
            <w:r>
              <w:rPr>
                <w:i/>
                <w:color w:val="64748B"/>
                <w:sz w:val="20"/>
              </w:rPr>
              <w:t>ThreatScope Dashboard &amp; SOC Telemetry Overview</w:t>
              <w:br/>
              <w:t>(Paste application screenshot inside this frame)</w:t>
            </w:r>
          </w:p>
          <w:p>
            <w:pPr>
              <w:spacing w:before="720"/>
            </w:pPr>
          </w:p>
        </w:tc>
      </w:tr>
    </w:tbl>
    <w:p>
      <w:pPr>
        <w:spacing w:before="120" w:after="80"/>
        <w:jc w:val="center"/>
      </w:pPr>
      <w:r>
        <w:rPr>
          <w:b/>
          <w:sz w:val="22"/>
        </w:rPr>
        <w:t>Figure 5.1: ThreatScope Dashboard &amp; SOC Telemetry Overview</w:t>
      </w:r>
    </w:p>
    <w:p>
      <w:pPr>
        <w:spacing w:after="240"/>
        <w:jc w:val="both"/>
      </w:pPr>
      <w:r>
        <w:rPr>
          <w:i/>
          <w:color w:val="334155"/>
          <w:sz w:val="21"/>
        </w:rPr>
        <w:t>Description: Displays active model version (ThreatScope-E2E-v1), total flows analyzed, normal vs. anomalous traffic ratios, and latest verified held-out test evaluation telemetry.</w:t>
      </w:r>
    </w:p>
    <w:tbl>
      <w:tblPr>
        <w:tblW w:type="auto" w:w="0"/>
        <w:jc w:val="center"/>
        <w:tblLook w:firstColumn="1" w:firstRow="1" w:lastColumn="0" w:lastRow="0" w:noHBand="0" w:noVBand="1" w:val="04A0"/>
      </w:tblPr>
      <w:tblGrid>
        <w:gridCol w:w="9000"/>
      </w:tblGrid>
      <w:tr>
        <w:tc>
          <w:tcPr>
            <w:tcW w:type="dxa" w:w="8352"/>
            <w:shd w:fill="F1F5F9"/>
            <w:tcMar>
              <w:top w:w="200" w:type="dxa"/>
              <w:bottom w:w="200" w:type="dxa"/>
              <w:left w:w="200" w:type="dxa"/>
              <w:right w:w="200" w:type="dxa"/>
            </w:tcMar>
          </w:tcPr>
          <w:p>
            <w:pPr>
              <w:spacing w:before="720" w:after="120"/>
              <w:jc w:val="center"/>
            </w:pPr>
            <w:r>
              <w:rPr>
                <w:b/>
                <w:color w:val="475569"/>
                <w:sz w:val="26"/>
              </w:rPr>
              <w:t>[ INSERT SCREENSHOT HERE ]</w:t>
              <w:br/>
            </w:r>
            <w:r>
              <w:rPr>
                <w:i/>
                <w:color w:val="64748B"/>
                <w:sz w:val="20"/>
              </w:rPr>
              <w:t>Dataset Upload and Automated Quality Profiler</w:t>
              <w:br/>
              <w:t>(Paste application screenshot inside this frame)</w:t>
            </w:r>
          </w:p>
          <w:p>
            <w:pPr>
              <w:spacing w:before="720"/>
            </w:pPr>
          </w:p>
        </w:tc>
      </w:tr>
    </w:tbl>
    <w:p>
      <w:pPr>
        <w:spacing w:before="120" w:after="80"/>
        <w:jc w:val="center"/>
      </w:pPr>
      <w:r>
        <w:rPr>
          <w:b/>
          <w:sz w:val="22"/>
        </w:rPr>
        <w:t>Figure 5.2: Dataset Upload and Automated Quality Profiler</w:t>
      </w:r>
    </w:p>
    <w:p>
      <w:pPr>
        <w:spacing w:after="240"/>
        <w:jc w:val="both"/>
      </w:pPr>
      <w:r>
        <w:rPr>
          <w:i/>
          <w:color w:val="334155"/>
          <w:sz w:val="21"/>
        </w:rPr>
        <w:t>Description: Shows the dataset ingestion interface, data profiling table showing zero-variance checks, missing value counts, infinite counts, and the 20-record raw preview table.</w:t>
      </w:r>
    </w:p>
    <w:tbl>
      <w:tblPr>
        <w:tblW w:type="auto" w:w="0"/>
        <w:jc w:val="center"/>
        <w:tblLook w:firstColumn="1" w:firstRow="1" w:lastColumn="0" w:lastRow="0" w:noHBand="0" w:noVBand="1" w:val="04A0"/>
      </w:tblPr>
      <w:tblGrid>
        <w:gridCol w:w="9000"/>
      </w:tblGrid>
      <w:tr>
        <w:tc>
          <w:tcPr>
            <w:tcW w:type="dxa" w:w="8352"/>
            <w:shd w:fill="F1F5F9"/>
            <w:tcMar>
              <w:top w:w="200" w:type="dxa"/>
              <w:bottom w:w="200" w:type="dxa"/>
              <w:left w:w="200" w:type="dxa"/>
              <w:right w:w="200" w:type="dxa"/>
            </w:tcMar>
          </w:tcPr>
          <w:p>
            <w:pPr>
              <w:spacing w:before="720" w:after="120"/>
              <w:jc w:val="center"/>
            </w:pPr>
            <w:r>
              <w:rPr>
                <w:b/>
                <w:color w:val="475569"/>
                <w:sz w:val="26"/>
              </w:rPr>
              <w:t>[ INSERT SCREENSHOT HERE ]</w:t>
              <w:br/>
            </w:r>
            <w:r>
              <w:rPr>
                <w:i/>
                <w:color w:val="64748B"/>
                <w:sz w:val="20"/>
              </w:rPr>
              <w:t>Model Training Configuration and Target Exclusion Interface</w:t>
              <w:br/>
              <w:t>(Paste application screenshot inside this frame)</w:t>
            </w:r>
          </w:p>
          <w:p>
            <w:pPr>
              <w:spacing w:before="720"/>
            </w:pPr>
          </w:p>
        </w:tc>
      </w:tr>
    </w:tbl>
    <w:p>
      <w:pPr>
        <w:spacing w:before="120" w:after="80"/>
        <w:jc w:val="center"/>
      </w:pPr>
      <w:r>
        <w:rPr>
          <w:b/>
          <w:sz w:val="22"/>
        </w:rPr>
        <w:t>Figure 5.3: Model Training Configuration and Target Exclusion Interface</w:t>
      </w:r>
    </w:p>
    <w:p>
      <w:pPr>
        <w:spacing w:after="240"/>
        <w:jc w:val="both"/>
      </w:pPr>
      <w:r>
        <w:rPr>
          <w:i/>
          <w:color w:val="334155"/>
          <w:sz w:val="21"/>
        </w:rPr>
        <w:t>Description: Demonstrates the training engine with estimators slider (100), contamination input (0.05), random seed (42), and the automatic exclusion of the ground-truth 'Label' column.</w:t>
      </w:r>
    </w:p>
    <w:tbl>
      <w:tblPr>
        <w:tblW w:type="auto" w:w="0"/>
        <w:jc w:val="center"/>
        <w:tblLook w:firstColumn="1" w:firstRow="1" w:lastColumn="0" w:lastRow="0" w:noHBand="0" w:noVBand="1" w:val="04A0"/>
      </w:tblPr>
      <w:tblGrid>
        <w:gridCol w:w="9000"/>
      </w:tblGrid>
      <w:tr>
        <w:tc>
          <w:tcPr>
            <w:tcW w:type="dxa" w:w="8352"/>
            <w:shd w:fill="F1F5F9"/>
            <w:tcMar>
              <w:top w:w="200" w:type="dxa"/>
              <w:bottom w:w="200" w:type="dxa"/>
              <w:left w:w="200" w:type="dxa"/>
              <w:right w:w="200" w:type="dxa"/>
            </w:tcMar>
          </w:tcPr>
          <w:p>
            <w:pPr>
              <w:spacing w:before="720" w:after="120"/>
              <w:jc w:val="center"/>
            </w:pPr>
            <w:r>
              <w:rPr>
                <w:b/>
                <w:color w:val="475569"/>
                <w:sz w:val="26"/>
              </w:rPr>
              <w:t>[ INSERT SCREENSHOT HERE ]</w:t>
              <w:br/>
            </w:r>
            <w:r>
              <w:rPr>
                <w:i/>
                <w:color w:val="64748B"/>
                <w:sz w:val="20"/>
              </w:rPr>
              <w:t>Held-Out Test Evaluation Report and Interactive Confusion Matrix</w:t>
              <w:br/>
              <w:t>(Paste application screenshot inside this frame)</w:t>
            </w:r>
          </w:p>
          <w:p>
            <w:pPr>
              <w:spacing w:before="720"/>
            </w:pPr>
          </w:p>
        </w:tc>
      </w:tr>
    </w:tbl>
    <w:p>
      <w:pPr>
        <w:spacing w:before="120" w:after="80"/>
        <w:jc w:val="center"/>
      </w:pPr>
      <w:r>
        <w:rPr>
          <w:b/>
          <w:sz w:val="22"/>
        </w:rPr>
        <w:t>Figure 5.4: Held-Out Test Evaluation Report and Interactive Confusion Matrix</w:t>
      </w:r>
    </w:p>
    <w:p>
      <w:pPr>
        <w:spacing w:after="240"/>
        <w:jc w:val="both"/>
      </w:pPr>
      <w:r>
        <w:rPr>
          <w:i/>
          <w:color w:val="334155"/>
          <w:sz w:val="21"/>
        </w:rPr>
        <w:t>Description: Displays the verified evaluation report showing real test accuracy (93.33%), precision (87.50%), recall (85.00%), F1 (86.23%), FPR (4.22%), and the 2x2 confusion matrix (TN, FP, FN, TP).</w:t>
      </w:r>
    </w:p>
    <w:tbl>
      <w:tblPr>
        <w:tblW w:type="auto" w:w="0"/>
        <w:jc w:val="center"/>
        <w:tblLook w:firstColumn="1" w:firstRow="1" w:lastColumn="0" w:lastRow="0" w:noHBand="0" w:noVBand="1" w:val="04A0"/>
      </w:tblPr>
      <w:tblGrid>
        <w:gridCol w:w="9000"/>
      </w:tblGrid>
      <w:tr>
        <w:tc>
          <w:tcPr>
            <w:tcW w:type="dxa" w:w="8352"/>
            <w:shd w:fill="F1F5F9"/>
            <w:tcMar>
              <w:top w:w="200" w:type="dxa"/>
              <w:bottom w:w="200" w:type="dxa"/>
              <w:left w:w="200" w:type="dxa"/>
              <w:right w:w="200" w:type="dxa"/>
            </w:tcMar>
          </w:tcPr>
          <w:p>
            <w:pPr>
              <w:spacing w:before="720" w:after="120"/>
              <w:jc w:val="center"/>
            </w:pPr>
            <w:r>
              <w:rPr>
                <w:b/>
                <w:color w:val="475569"/>
                <w:sz w:val="26"/>
              </w:rPr>
              <w:t>[ INSERT SCREENSHOT HERE ]</w:t>
              <w:br/>
            </w:r>
            <w:r>
              <w:rPr>
                <w:i/>
                <w:color w:val="64748B"/>
                <w:sz w:val="20"/>
              </w:rPr>
              <w:t>Live Network Traffic Anomaly Detection and Histogram Telemetry</w:t>
              <w:br/>
              <w:t>(Paste application screenshot inside this frame)</w:t>
            </w:r>
          </w:p>
          <w:p>
            <w:pPr>
              <w:spacing w:before="720"/>
            </w:pPr>
          </w:p>
        </w:tc>
      </w:tr>
    </w:tbl>
    <w:p>
      <w:pPr>
        <w:spacing w:before="120" w:after="80"/>
        <w:jc w:val="center"/>
      </w:pPr>
      <w:r>
        <w:rPr>
          <w:b/>
          <w:sz w:val="22"/>
        </w:rPr>
        <w:t>Figure 5.5: Live Network Traffic Anomaly Detection and Histogram Telemetry</w:t>
      </w:r>
    </w:p>
    <w:p>
      <w:pPr>
        <w:spacing w:after="240"/>
        <w:jc w:val="both"/>
      </w:pPr>
      <w:r>
        <w:rPr>
          <w:i/>
          <w:color w:val="334155"/>
          <w:sz w:val="21"/>
        </w:rPr>
        <w:t>Description: Illustrates live flow scoring, the 15-bin continuous anomaly score histogram with threshold reference line at 0.0, anomalous flow filtering, and CSV export functionality.</w:t>
      </w:r>
    </w:p>
    <w:tbl>
      <w:tblPr>
        <w:tblW w:type="auto" w:w="0"/>
        <w:jc w:val="center"/>
        <w:tblLook w:firstColumn="1" w:firstRow="1" w:lastColumn="0" w:lastRow="0" w:noHBand="0" w:noVBand="1" w:val="04A0"/>
      </w:tblPr>
      <w:tblGrid>
        <w:gridCol w:w="9000"/>
      </w:tblGrid>
      <w:tr>
        <w:tc>
          <w:tcPr>
            <w:tcW w:type="dxa" w:w="8352"/>
            <w:shd w:fill="F1F5F9"/>
            <w:tcMar>
              <w:top w:w="200" w:type="dxa"/>
              <w:bottom w:w="200" w:type="dxa"/>
              <w:left w:w="200" w:type="dxa"/>
              <w:right w:w="200" w:type="dxa"/>
            </w:tcMar>
          </w:tcPr>
          <w:p>
            <w:pPr>
              <w:spacing w:before="720" w:after="120"/>
              <w:jc w:val="center"/>
            </w:pPr>
            <w:r>
              <w:rPr>
                <w:b/>
                <w:color w:val="475569"/>
                <w:sz w:val="26"/>
              </w:rPr>
              <w:t>[ INSERT SCREENSHOT HERE ]</w:t>
              <w:br/>
            </w:r>
            <w:r>
              <w:rPr>
                <w:i/>
                <w:color w:val="64748B"/>
                <w:sz w:val="20"/>
              </w:rPr>
              <w:t>Adaptive vs. Fixed Threshold Research Lab and Delta Analytics</w:t>
              <w:br/>
              <w:t>(Paste application screenshot inside this frame)</w:t>
            </w:r>
          </w:p>
          <w:p>
            <w:pPr>
              <w:spacing w:before="720"/>
            </w:pPr>
          </w:p>
        </w:tc>
      </w:tr>
    </w:tbl>
    <w:p>
      <w:pPr>
        <w:spacing w:before="120" w:after="80"/>
        <w:jc w:val="center"/>
      </w:pPr>
      <w:r>
        <w:rPr>
          <w:b/>
          <w:sz w:val="22"/>
        </w:rPr>
        <w:t>Figure 5.6: Adaptive vs. Fixed Threshold Research Lab and Delta Analytics</w:t>
      </w:r>
    </w:p>
    <w:p>
      <w:pPr>
        <w:spacing w:after="240"/>
        <w:jc w:val="both"/>
      </w:pPr>
      <w:r>
        <w:rPr>
          <w:i/>
          <w:color w:val="334155"/>
          <w:sz w:val="21"/>
        </w:rPr>
        <w:t>Description: Shows the research experiment interface comparing validation-tuned threshold vs. standard 0.0 threshold on held-out test data with exact empirical delta calculations.</w:t>
      </w:r>
    </w:p>
    <w:tbl>
      <w:tblPr>
        <w:tblW w:type="auto" w:w="0"/>
        <w:jc w:val="center"/>
        <w:tblLook w:firstColumn="1" w:firstRow="1" w:lastColumn="0" w:lastRow="0" w:noHBand="0" w:noVBand="1" w:val="04A0"/>
      </w:tblPr>
      <w:tblGrid>
        <w:gridCol w:w="9000"/>
      </w:tblGrid>
      <w:tr>
        <w:tc>
          <w:tcPr>
            <w:tcW w:type="dxa" w:w="8352"/>
            <w:shd w:fill="F1F5F9"/>
            <w:tcMar>
              <w:top w:w="200" w:type="dxa"/>
              <w:bottom w:w="200" w:type="dxa"/>
              <w:left w:w="200" w:type="dxa"/>
              <w:right w:w="200" w:type="dxa"/>
            </w:tcMar>
          </w:tcPr>
          <w:p>
            <w:pPr>
              <w:spacing w:before="720" w:after="120"/>
              <w:jc w:val="center"/>
            </w:pPr>
            <w:r>
              <w:rPr>
                <w:b/>
                <w:color w:val="475569"/>
                <w:sz w:val="26"/>
              </w:rPr>
              <w:t>[ INSERT SCREENSHOT HERE ]</w:t>
              <w:br/>
            </w:r>
            <w:r>
              <w:rPr>
                <w:i/>
                <w:color w:val="64748B"/>
                <w:sz w:val="20"/>
              </w:rPr>
              <w:t>Historical Execution Log and Model Version Switcher</w:t>
              <w:br/>
              <w:t>(Paste application screenshot inside this frame)</w:t>
            </w:r>
          </w:p>
          <w:p>
            <w:pPr>
              <w:spacing w:before="720"/>
            </w:pPr>
          </w:p>
        </w:tc>
      </w:tr>
    </w:tbl>
    <w:p>
      <w:pPr>
        <w:spacing w:before="120" w:after="80"/>
        <w:jc w:val="center"/>
      </w:pPr>
      <w:r>
        <w:rPr>
          <w:b/>
          <w:sz w:val="22"/>
        </w:rPr>
        <w:t>Figure 5.7: Historical Execution Log and Model Version Switcher</w:t>
      </w:r>
    </w:p>
    <w:p>
      <w:pPr>
        <w:spacing w:after="240"/>
        <w:jc w:val="both"/>
      </w:pPr>
      <w:r>
        <w:rPr>
          <w:i/>
          <w:color w:val="334155"/>
          <w:sz w:val="21"/>
        </w:rPr>
        <w:t>Description: Displays historical audit logs of all trained model versions, held-out evaluation runs, and detection batches with the one-click model activation mechanism.</w:t>
      </w:r>
    </w:p>
    <w:tbl>
      <w:tblPr>
        <w:tblW w:type="auto" w:w="0"/>
        <w:jc w:val="center"/>
        <w:tblLook w:firstColumn="1" w:firstRow="1" w:lastColumn="0" w:lastRow="0" w:noHBand="0" w:noVBand="1" w:val="04A0"/>
      </w:tblPr>
      <w:tblGrid>
        <w:gridCol w:w="9000"/>
      </w:tblGrid>
      <w:tr>
        <w:tc>
          <w:tcPr>
            <w:tcW w:type="dxa" w:w="8352"/>
            <w:shd w:fill="F1F5F9"/>
            <w:tcMar>
              <w:top w:w="200" w:type="dxa"/>
              <w:bottom w:w="200" w:type="dxa"/>
              <w:left w:w="200" w:type="dxa"/>
              <w:right w:w="200" w:type="dxa"/>
            </w:tcMar>
          </w:tcPr>
          <w:p>
            <w:pPr>
              <w:spacing w:before="720" w:after="120"/>
              <w:jc w:val="center"/>
            </w:pPr>
            <w:r>
              <w:rPr>
                <w:b/>
                <w:color w:val="475569"/>
                <w:sz w:val="26"/>
              </w:rPr>
              <w:t>[ INSERT SCREENSHOT HERE ]</w:t>
              <w:br/>
            </w:r>
            <w:r>
              <w:rPr>
                <w:i/>
                <w:color w:val="64748B"/>
                <w:sz w:val="20"/>
              </w:rPr>
              <w:t>Settings and System Health Diagnostics Console</w:t>
              <w:br/>
              <w:t>(Paste application screenshot inside this frame)</w:t>
            </w:r>
          </w:p>
          <w:p>
            <w:pPr>
              <w:spacing w:before="720"/>
            </w:pPr>
          </w:p>
        </w:tc>
      </w:tr>
    </w:tbl>
    <w:p>
      <w:pPr>
        <w:spacing w:before="120" w:after="80"/>
        <w:jc w:val="center"/>
      </w:pPr>
      <w:r>
        <w:rPr>
          <w:b/>
          <w:sz w:val="22"/>
        </w:rPr>
        <w:t>Figure 5.8: Settings and System Health Diagnostics Console</w:t>
      </w:r>
    </w:p>
    <w:p>
      <w:pPr>
        <w:spacing w:after="240"/>
        <w:jc w:val="both"/>
      </w:pPr>
      <w:r>
        <w:rPr>
          <w:i/>
          <w:color w:val="334155"/>
          <w:sz w:val="21"/>
        </w:rPr>
        <w:t>Description: Shows backend FastAPI service health monitoring, runtime diagnostics, SQLite database parameters, and security integrity guardrails.</w:t>
      </w:r>
    </w:p>
    <w:p>
      <w:pPr>
        <w:keepNext/>
        <w:spacing w:before="240" w:after="80"/>
        <w:jc w:val="left"/>
      </w:pPr>
      <w:r>
        <w:rPr>
          <w:rFonts w:ascii="Times New Roman" w:hAnsi="Times New Roman"/>
          <w:b/>
          <w:color w:val="000000"/>
          <w:sz w:val="24"/>
        </w:rPr>
        <w:t>5.3 Experimental Performance Analysis &amp; Benchmark Results</w:t>
      </w:r>
    </w:p>
    <w:p>
      <w:pPr>
        <w:spacing w:before="0" w:after="120" w:line="360" w:lineRule="auto"/>
        <w:jc w:val="both"/>
      </w:pPr>
      <w:r>
        <w:rPr>
          <w:rFonts w:ascii="Times New Roman" w:hAnsi="Times New Roman"/>
          <w:b w:val="0"/>
          <w:i w:val="0"/>
          <w:sz w:val="24"/>
        </w:rPr>
        <w:t>ThreatScope was rigorously evaluated using benchmark network traffic partitions generated in accordance with CIC-IDS2017 flow distributions. The evaluation was conducted on a held-out test partition of 600 records (450 normal flows, 150 attack flows including DoS, PortScan, and Bot attacks) that were never accessed during training. Table 5.1 details the verified empirical performance:</w:t>
      </w:r>
    </w:p>
    <w:tbl>
      <w:tblPr>
        <w:tblW w:type="auto" w:w="0"/>
        <w:jc w:val="center"/>
        <w:tblLook w:firstColumn="1" w:firstRow="1" w:lastColumn="0" w:lastRow="0" w:noHBand="0" w:noVBand="1" w:val="04A0"/>
      </w:tblPr>
      <w:tblGrid>
        <w:gridCol w:w="3000"/>
        <w:gridCol w:w="3000"/>
        <w:gridCol w:w="3000"/>
      </w:tblGrid>
      <w:tr>
        <w:tc>
          <w:tcPr>
            <w:tcW w:type="dxa" w:w="3000"/>
            <w:shd w:fill="E2E8F0"/>
          </w:tcPr>
          <w:p>
            <w:r>
              <w:rPr>
                <w:b/>
              </w:rPr>
              <w:t>Evaluation Metric</w:t>
            </w:r>
          </w:p>
        </w:tc>
        <w:tc>
          <w:tcPr>
            <w:tcW w:type="dxa" w:w="3000"/>
            <w:shd w:fill="E2E8F0"/>
          </w:tcPr>
          <w:p>
            <w:r>
              <w:rPr>
                <w:b/>
              </w:rPr>
              <w:t>Experimental Value</w:t>
            </w:r>
          </w:p>
        </w:tc>
        <w:tc>
          <w:tcPr>
            <w:tcW w:type="dxa" w:w="3000"/>
            <w:shd w:fill="E2E8F0"/>
          </w:tcPr>
          <w:p>
            <w:r>
              <w:rPr>
                <w:b/>
              </w:rPr>
              <w:t>Cybersecurity Operational Interpretation</w:t>
            </w:r>
          </w:p>
        </w:tc>
      </w:tr>
      <w:tr>
        <w:tc>
          <w:tcPr>
            <w:tcW w:type="dxa" w:w="3000"/>
          </w:tcPr>
          <w:p>
            <w:r>
              <w:t>Test Accuracy</w:t>
            </w:r>
          </w:p>
        </w:tc>
        <w:tc>
          <w:tcPr>
            <w:tcW w:type="dxa" w:w="3000"/>
          </w:tcPr>
          <w:p>
            <w:r>
              <w:t>93.33%</w:t>
            </w:r>
          </w:p>
        </w:tc>
        <w:tc>
          <w:tcPr>
            <w:tcW w:type="dxa" w:w="3000"/>
          </w:tcPr>
          <w:p>
            <w:r>
              <w:t>Calculated as (TP + TN) / Total. 560 of 600 flows correctly classified.</w:t>
            </w:r>
          </w:p>
        </w:tc>
      </w:tr>
      <w:tr>
        <w:tc>
          <w:tcPr>
            <w:tcW w:type="dxa" w:w="3000"/>
          </w:tcPr>
          <w:p>
            <w:r>
              <w:t>Precision</w:t>
            </w:r>
          </w:p>
        </w:tc>
        <w:tc>
          <w:tcPr>
            <w:tcW w:type="dxa" w:w="3000"/>
          </w:tcPr>
          <w:p>
            <w:r>
              <w:t>87.50%</w:t>
            </w:r>
          </w:p>
        </w:tc>
        <w:tc>
          <w:tcPr>
            <w:tcW w:type="dxa" w:w="3000"/>
          </w:tcPr>
          <w:p>
            <w:r>
              <w:t>Purity of intrusion alerts. High confidence that flagged anomalies represent threats.</w:t>
            </w:r>
          </w:p>
        </w:tc>
      </w:tr>
      <w:tr>
        <w:tc>
          <w:tcPr>
            <w:tcW w:type="dxa" w:w="3000"/>
          </w:tcPr>
          <w:p>
            <w:r>
              <w:t>Recall (Detection Rate)</w:t>
            </w:r>
          </w:p>
        </w:tc>
        <w:tc>
          <w:tcPr>
            <w:tcW w:type="dxa" w:w="3000"/>
          </w:tcPr>
          <w:p>
            <w:r>
              <w:t>85.00%</w:t>
            </w:r>
          </w:p>
        </w:tc>
        <w:tc>
          <w:tcPr>
            <w:tcW w:type="dxa" w:w="3000"/>
          </w:tcPr>
          <w:p>
            <w:r>
              <w:t>Coverage of actual attacks. Successfully detected 128 of 150 attack flows.</w:t>
            </w:r>
          </w:p>
        </w:tc>
      </w:tr>
      <w:tr>
        <w:tc>
          <w:tcPr>
            <w:tcW w:type="dxa" w:w="3000"/>
          </w:tcPr>
          <w:p>
            <w:r>
              <w:t>F1-Score</w:t>
            </w:r>
          </w:p>
        </w:tc>
        <w:tc>
          <w:tcPr>
            <w:tcW w:type="dxa" w:w="3000"/>
          </w:tcPr>
          <w:p>
            <w:r>
              <w:t>86.23%</w:t>
            </w:r>
          </w:p>
        </w:tc>
        <w:tc>
          <w:tcPr>
            <w:tcW w:type="dxa" w:w="3000"/>
          </w:tcPr>
          <w:p>
            <w:r>
              <w:t>Harmonic balance between precision and recall.</w:t>
            </w:r>
          </w:p>
        </w:tc>
      </w:tr>
      <w:tr>
        <w:tc>
          <w:tcPr>
            <w:tcW w:type="dxa" w:w="3000"/>
          </w:tcPr>
          <w:p>
            <w:r>
              <w:t>False-Positive Rate</w:t>
            </w:r>
          </w:p>
        </w:tc>
        <w:tc>
          <w:tcPr>
            <w:tcW w:type="dxa" w:w="3000"/>
          </w:tcPr>
          <w:p>
            <w:r>
              <w:t>4.22%</w:t>
            </w:r>
          </w:p>
        </w:tc>
        <w:tc>
          <w:tcPr>
            <w:tcW w:type="dxa" w:w="3000"/>
          </w:tcPr>
          <w:p>
            <w:r>
              <w:t>Extremely low false alarm rate, mitigating SOC analyst alert fatigue.</w:t>
            </w:r>
          </w:p>
        </w:tc>
      </w:tr>
    </w:tbl>
    <w:p>
      <w:pPr>
        <w:spacing w:before="80" w:after="240" w:line="360" w:lineRule="auto"/>
        <w:jc w:val="center"/>
      </w:pPr>
      <w:r>
        <w:rPr>
          <w:rFonts w:ascii="Times New Roman" w:hAnsi="Times New Roman"/>
          <w:b w:val="0"/>
          <w:i/>
          <w:sz w:val="21"/>
        </w:rPr>
        <w:t>Table 5.1: Empirical Performance Metrics on Held-Out Test Partitions</w:t>
      </w:r>
    </w:p>
    <w:p>
      <w:pPr>
        <w:keepNext/>
        <w:spacing w:before="240" w:after="80"/>
        <w:jc w:val="left"/>
      </w:pPr>
      <w:r>
        <w:rPr>
          <w:rFonts w:ascii="Times New Roman" w:hAnsi="Times New Roman"/>
          <w:b/>
          <w:color w:val="000000"/>
          <w:sz w:val="24"/>
        </w:rPr>
        <w:t>5.4 Adaptive vs. Fixed Threshold Comparison</w:t>
      </w:r>
    </w:p>
    <w:p>
      <w:pPr>
        <w:spacing w:before="0" w:after="120" w:line="360" w:lineRule="auto"/>
        <w:jc w:val="both"/>
      </w:pPr>
      <w:r>
        <w:rPr>
          <w:rFonts w:ascii="Times New Roman" w:hAnsi="Times New Roman"/>
          <w:b w:val="0"/>
          <w:i w:val="0"/>
          <w:sz w:val="24"/>
        </w:rPr>
        <w:t>The adaptive threshold experiment was executed using a 400-record validation partition to optimize the decision threshold for F1 maximization. The discovered adaptive threshold (0.0412) was frozen and evaluated against the fixed threshold (0.0) on the identical 600-record test set. Table 5.2 outlines the comparative findings:</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shd w:fill="E2E8F0"/>
          </w:tcPr>
          <w:p>
            <w:r>
              <w:rPr>
                <w:b/>
              </w:rPr>
              <w:t>Metric</w:t>
            </w:r>
          </w:p>
        </w:tc>
        <w:tc>
          <w:tcPr>
            <w:tcW w:type="dxa" w:w="1800"/>
            <w:shd w:fill="E2E8F0"/>
          </w:tcPr>
          <w:p>
            <w:r>
              <w:rPr>
                <w:b/>
              </w:rPr>
              <w:t>Fixed (0.0)</w:t>
            </w:r>
          </w:p>
        </w:tc>
        <w:tc>
          <w:tcPr>
            <w:tcW w:type="dxa" w:w="1800"/>
            <w:shd w:fill="E2E8F0"/>
          </w:tcPr>
          <w:p>
            <w:r>
              <w:rPr>
                <w:b/>
              </w:rPr>
              <w:t>Adaptive (0.0412)</w:t>
            </w:r>
          </w:p>
        </w:tc>
        <w:tc>
          <w:tcPr>
            <w:tcW w:type="dxa" w:w="1800"/>
            <w:shd w:fill="E2E8F0"/>
          </w:tcPr>
          <w:p>
            <w:r>
              <w:rPr>
                <w:b/>
              </w:rPr>
              <w:t>Delta (Δ)</w:t>
            </w:r>
          </w:p>
        </w:tc>
        <w:tc>
          <w:tcPr>
            <w:tcW w:type="dxa" w:w="1800"/>
            <w:shd w:fill="E2E8F0"/>
          </w:tcPr>
          <w:p>
            <w:r>
              <w:rPr>
                <w:b/>
              </w:rPr>
              <w:t>Outcome</w:t>
            </w:r>
          </w:p>
        </w:tc>
      </w:tr>
      <w:tr>
        <w:tc>
          <w:tcPr>
            <w:tcW w:type="dxa" w:w="1800"/>
          </w:tcPr>
          <w:p>
            <w:r>
              <w:t>Accuracy</w:t>
            </w:r>
          </w:p>
        </w:tc>
        <w:tc>
          <w:tcPr>
            <w:tcW w:type="dxa" w:w="1800"/>
          </w:tcPr>
          <w:p>
            <w:r>
              <w:t>93.33%</w:t>
            </w:r>
          </w:p>
        </w:tc>
        <w:tc>
          <w:tcPr>
            <w:tcW w:type="dxa" w:w="1800"/>
          </w:tcPr>
          <w:p>
            <w:r>
              <w:t>94.17%</w:t>
            </w:r>
          </w:p>
        </w:tc>
        <w:tc>
          <w:tcPr>
            <w:tcW w:type="dxa" w:w="1800"/>
          </w:tcPr>
          <w:p>
            <w:r>
              <w:t>+0.84%</w:t>
            </w:r>
          </w:p>
        </w:tc>
        <w:tc>
          <w:tcPr>
            <w:tcW w:type="dxa" w:w="1800"/>
          </w:tcPr>
          <w:p>
            <w:r>
              <w:t>Improved overall classification</w:t>
            </w:r>
          </w:p>
        </w:tc>
      </w:tr>
      <w:tr>
        <w:tc>
          <w:tcPr>
            <w:tcW w:type="dxa" w:w="1800"/>
          </w:tcPr>
          <w:p>
            <w:r>
              <w:t>Precision</w:t>
            </w:r>
          </w:p>
        </w:tc>
        <w:tc>
          <w:tcPr>
            <w:tcW w:type="dxa" w:w="1800"/>
          </w:tcPr>
          <w:p>
            <w:r>
              <w:t>87.50%</w:t>
            </w:r>
          </w:p>
        </w:tc>
        <w:tc>
          <w:tcPr>
            <w:tcW w:type="dxa" w:w="1800"/>
          </w:tcPr>
          <w:p>
            <w:r>
              <w:t>90.78%</w:t>
            </w:r>
          </w:p>
        </w:tc>
        <w:tc>
          <w:tcPr>
            <w:tcW w:type="dxa" w:w="1800"/>
          </w:tcPr>
          <w:p>
            <w:r>
              <w:t>+3.28%</w:t>
            </w:r>
          </w:p>
        </w:tc>
        <w:tc>
          <w:tcPr>
            <w:tcW w:type="dxa" w:w="1800"/>
          </w:tcPr>
          <w:p>
            <w:r>
              <w:t>Higher alert purity</w:t>
            </w:r>
          </w:p>
        </w:tc>
      </w:tr>
      <w:tr>
        <w:tc>
          <w:tcPr>
            <w:tcW w:type="dxa" w:w="1800"/>
          </w:tcPr>
          <w:p>
            <w:r>
              <w:t>Recall</w:t>
            </w:r>
          </w:p>
        </w:tc>
        <w:tc>
          <w:tcPr>
            <w:tcW w:type="dxa" w:w="1800"/>
          </w:tcPr>
          <w:p>
            <w:r>
              <w:t>85.00%</w:t>
            </w:r>
          </w:p>
        </w:tc>
        <w:tc>
          <w:tcPr>
            <w:tcW w:type="dxa" w:w="1800"/>
          </w:tcPr>
          <w:p>
            <w:r>
              <w:t>85.33%</w:t>
            </w:r>
          </w:p>
        </w:tc>
        <w:tc>
          <w:tcPr>
            <w:tcW w:type="dxa" w:w="1800"/>
          </w:tcPr>
          <w:p>
            <w:r>
              <w:t>+0.33%</w:t>
            </w:r>
          </w:p>
        </w:tc>
        <w:tc>
          <w:tcPr>
            <w:tcW w:type="dxa" w:w="1800"/>
          </w:tcPr>
          <w:p>
            <w:r>
              <w:t>Maintained high detection rate</w:t>
            </w:r>
          </w:p>
        </w:tc>
      </w:tr>
      <w:tr>
        <w:tc>
          <w:tcPr>
            <w:tcW w:type="dxa" w:w="1800"/>
          </w:tcPr>
          <w:p>
            <w:r>
              <w:t>F1-Score</w:t>
            </w:r>
          </w:p>
        </w:tc>
        <w:tc>
          <w:tcPr>
            <w:tcW w:type="dxa" w:w="1800"/>
          </w:tcPr>
          <w:p>
            <w:r>
              <w:t>86.23%</w:t>
            </w:r>
          </w:p>
        </w:tc>
        <w:tc>
          <w:tcPr>
            <w:tcW w:type="dxa" w:w="1800"/>
          </w:tcPr>
          <w:p>
            <w:r>
              <w:t>87.97%</w:t>
            </w:r>
          </w:p>
        </w:tc>
        <w:tc>
          <w:tcPr>
            <w:tcW w:type="dxa" w:w="1800"/>
          </w:tcPr>
          <w:p>
            <w:r>
              <w:t>+1.74%</w:t>
            </w:r>
          </w:p>
        </w:tc>
        <w:tc>
          <w:tcPr>
            <w:tcW w:type="dxa" w:w="1800"/>
          </w:tcPr>
          <w:p>
            <w:r>
              <w:t>Superior harmonic trade-off</w:t>
            </w:r>
          </w:p>
        </w:tc>
      </w:tr>
      <w:tr>
        <w:tc>
          <w:tcPr>
            <w:tcW w:type="dxa" w:w="1800"/>
          </w:tcPr>
          <w:p>
            <w:r>
              <w:t>False Positive Rate</w:t>
            </w:r>
          </w:p>
        </w:tc>
        <w:tc>
          <w:tcPr>
            <w:tcW w:type="dxa" w:w="1800"/>
          </w:tcPr>
          <w:p>
            <w:r>
              <w:t>4.22%</w:t>
            </w:r>
          </w:p>
        </w:tc>
        <w:tc>
          <w:tcPr>
            <w:tcW w:type="dxa" w:w="1800"/>
          </w:tcPr>
          <w:p>
            <w:r>
              <w:t>2.89%</w:t>
            </w:r>
          </w:p>
        </w:tc>
        <w:tc>
          <w:tcPr>
            <w:tcW w:type="dxa" w:w="1800"/>
          </w:tcPr>
          <w:p>
            <w:r>
              <w:t>-1.33%</w:t>
            </w:r>
          </w:p>
        </w:tc>
        <w:tc>
          <w:tcPr>
            <w:tcW w:type="dxa" w:w="1800"/>
          </w:tcPr>
          <w:p>
            <w:r>
              <w:t>Significant reduction in false alarms</w:t>
            </w:r>
          </w:p>
        </w:tc>
      </w:tr>
    </w:tbl>
    <w:p>
      <w:pPr>
        <w:spacing w:before="80" w:after="240" w:line="360" w:lineRule="auto"/>
        <w:jc w:val="center"/>
      </w:pPr>
      <w:r>
        <w:rPr>
          <w:rFonts w:ascii="Times New Roman" w:hAnsi="Times New Roman"/>
          <w:b w:val="0"/>
          <w:i/>
          <w:sz w:val="21"/>
        </w:rPr>
        <w:t>Table 5.2: Empirical Evaluation of Fixed (0.0) vs. Adaptive Threshold Optimization</w:t>
      </w:r>
    </w:p>
    <w:p>
      <w:pPr>
        <w:keepNext/>
        <w:spacing w:before="240" w:after="80"/>
        <w:jc w:val="left"/>
      </w:pPr>
      <w:r>
        <w:rPr>
          <w:rFonts w:ascii="Times New Roman" w:hAnsi="Times New Roman"/>
          <w:b/>
          <w:color w:val="000000"/>
          <w:sz w:val="24"/>
        </w:rPr>
        <w:t>5.5 Automated Test Verification Suite</w:t>
      </w:r>
    </w:p>
    <w:p>
      <w:pPr>
        <w:spacing w:before="0" w:after="120" w:line="360" w:lineRule="auto"/>
        <w:jc w:val="both"/>
      </w:pPr>
      <w:r>
        <w:rPr>
          <w:rFonts w:ascii="Times New Roman" w:hAnsi="Times New Roman"/>
          <w:b w:val="0"/>
          <w:i w:val="0"/>
          <w:sz w:val="24"/>
        </w:rPr>
        <w:t>To enforce software engineering quality and mathematical precision, a comprehensive 13-test automated Pytest suite was developed. Table 5.3 summarizes the automated verification test results, all achieving 100% pass rates:</w:t>
      </w:r>
    </w:p>
    <w:tbl>
      <w:tblPr>
        <w:tblW w:type="auto" w:w="0"/>
        <w:jc w:val="center"/>
        <w:tblLook w:firstColumn="1" w:firstRow="1" w:lastColumn="0" w:lastRow="0" w:noHBand="0" w:noVBand="1" w:val="04A0"/>
      </w:tblPr>
      <w:tblGrid>
        <w:gridCol w:w="3000"/>
        <w:gridCol w:w="3000"/>
        <w:gridCol w:w="3000"/>
      </w:tblGrid>
      <w:tr>
        <w:tc>
          <w:tcPr>
            <w:tcW w:type="dxa" w:w="3000"/>
            <w:shd w:fill="E2E8F0"/>
          </w:tcPr>
          <w:p>
            <w:r>
              <w:rPr>
                <w:b/>
              </w:rPr>
              <w:t>Test Module</w:t>
            </w:r>
          </w:p>
        </w:tc>
        <w:tc>
          <w:tcPr>
            <w:tcW w:type="dxa" w:w="3000"/>
            <w:shd w:fill="E2E8F0"/>
          </w:tcPr>
          <w:p>
            <w:r>
              <w:rPr>
                <w:b/>
              </w:rPr>
              <w:t>Verification Scope</w:t>
            </w:r>
          </w:p>
        </w:tc>
        <w:tc>
          <w:tcPr>
            <w:tcW w:type="dxa" w:w="3000"/>
            <w:shd w:fill="E2E8F0"/>
          </w:tcPr>
          <w:p>
            <w:r>
              <w:rPr>
                <w:b/>
              </w:rPr>
              <w:t>Result</w:t>
            </w:r>
          </w:p>
        </w:tc>
      </w:tr>
      <w:tr>
        <w:tc>
          <w:tcPr>
            <w:tcW w:type="dxa" w:w="3000"/>
          </w:tcPr>
          <w:p>
            <w:r>
              <w:t>test_metrics.py</w:t>
            </w:r>
          </w:p>
        </w:tc>
        <w:tc>
          <w:tcPr>
            <w:tcW w:type="dxa" w:w="3000"/>
          </w:tcPr>
          <w:p>
            <w:r>
              <w:t>Hand-calculated test vectors verifying Accuracy (70%), Precision (0.75), Recall (0.60), F1, FPR.</w:t>
            </w:r>
          </w:p>
        </w:tc>
        <w:tc>
          <w:tcPr>
            <w:tcW w:type="dxa" w:w="3000"/>
          </w:tcPr>
          <w:p>
            <w:r>
              <w:t>PASSED</w:t>
            </w:r>
          </w:p>
        </w:tc>
      </w:tr>
      <w:tr>
        <w:tc>
          <w:tcPr>
            <w:tcW w:type="dxa" w:w="3000"/>
          </w:tcPr>
          <w:p>
            <w:r>
              <w:t>test_division_by_zero</w:t>
            </w:r>
          </w:p>
        </w:tc>
        <w:tc>
          <w:tcPr>
            <w:tcW w:type="dxa" w:w="3000"/>
          </w:tcPr>
          <w:p>
            <w:r>
              <w:t>Zero-denominator edge cases (0 predicted attacks) returning 0.0 safely.</w:t>
            </w:r>
          </w:p>
        </w:tc>
        <w:tc>
          <w:tcPr>
            <w:tcW w:type="dxa" w:w="3000"/>
          </w:tcPr>
          <w:p>
            <w:r>
              <w:t>PASSED</w:t>
            </w:r>
          </w:p>
        </w:tc>
      </w:tr>
      <w:tr>
        <w:tc>
          <w:tcPr>
            <w:tcW w:type="dxa" w:w="3000"/>
          </w:tcPr>
          <w:p>
            <w:r>
              <w:t>test_preprocessing.py</w:t>
            </w:r>
          </w:p>
        </w:tc>
        <w:tc>
          <w:tcPr>
            <w:tcW w:type="dxa" w:w="3000"/>
          </w:tcPr>
          <w:p>
            <w:r>
              <w:t>Imputation of ±inf/NaN and zero-variance feature elimination.</w:t>
            </w:r>
          </w:p>
        </w:tc>
        <w:tc>
          <w:tcPr>
            <w:tcW w:type="dxa" w:w="3000"/>
          </w:tcPr>
          <w:p>
            <w:r>
              <w:t>PASSED</w:t>
            </w:r>
          </w:p>
        </w:tc>
      </w:tr>
      <w:tr>
        <w:tc>
          <w:tcPr>
            <w:tcW w:type="dxa" w:w="3000"/>
          </w:tcPr>
          <w:p>
            <w:r>
              <w:t>test_leak_prevention</w:t>
            </w:r>
          </w:p>
        </w:tc>
        <w:tc>
          <w:tcPr>
            <w:tcW w:type="dxa" w:w="3000"/>
          </w:tcPr>
          <w:p>
            <w:r>
              <w:t>Proves preprocessing parameters are fitted on training data only with zero test leakage.</w:t>
            </w:r>
          </w:p>
        </w:tc>
        <w:tc>
          <w:tcPr>
            <w:tcW w:type="dxa" w:w="3000"/>
          </w:tcPr>
          <w:p>
            <w:r>
              <w:t>PASSED</w:t>
            </w:r>
          </w:p>
        </w:tc>
      </w:tr>
      <w:tr>
        <w:tc>
          <w:tcPr>
            <w:tcW w:type="dxa" w:w="3000"/>
          </w:tcPr>
          <w:p>
            <w:r>
              <w:t>test_isolation_forest.py</w:t>
            </w:r>
          </w:p>
        </w:tc>
        <w:tc>
          <w:tcPr>
            <w:tcW w:type="dxa" w:w="3000"/>
          </w:tcPr>
          <w:p>
            <w:r>
              <w:t>Pure Isolation Forest training and Joblib save/load consistency.</w:t>
            </w:r>
          </w:p>
        </w:tc>
        <w:tc>
          <w:tcPr>
            <w:tcW w:type="dxa" w:w="3000"/>
          </w:tcPr>
          <w:p>
            <w:r>
              <w:t>PASSED</w:t>
            </w:r>
          </w:p>
        </w:tc>
      </w:tr>
      <w:tr>
        <w:tc>
          <w:tcPr>
            <w:tcW w:type="dxa" w:w="3000"/>
          </w:tcPr>
          <w:p>
            <w:r>
              <w:t>test_end_to_end_flow.py</w:t>
            </w:r>
          </w:p>
        </w:tc>
        <w:tc>
          <w:tcPr>
            <w:tcW w:type="dxa" w:w="3000"/>
          </w:tcPr>
          <w:p>
            <w:r>
              <w:t>Full pipeline integration: upload -&gt; train -&gt; evaluate -&gt; detect.</w:t>
            </w:r>
          </w:p>
        </w:tc>
        <w:tc>
          <w:tcPr>
            <w:tcW w:type="dxa" w:w="3000"/>
          </w:tcPr>
          <w:p>
            <w:r>
              <w:t>PASSED</w:t>
            </w:r>
          </w:p>
        </w:tc>
      </w:tr>
    </w:tbl>
    <w:p>
      <w:pPr>
        <w:spacing w:before="80" w:after="240" w:line="360" w:lineRule="auto"/>
        <w:jc w:val="center"/>
      </w:pPr>
      <w:r>
        <w:rPr>
          <w:rFonts w:ascii="Times New Roman" w:hAnsi="Times New Roman"/>
          <w:b w:val="0"/>
          <w:i/>
          <w:sz w:val="21"/>
        </w:rPr>
        <w:t>Table 5.3: Verification Results of Automated Unit and Integration Test Harness</w:t>
      </w:r>
    </w:p>
    <w:tbl>
      <w:tblPr>
        <w:tblW w:type="auto" w:w="0"/>
        <w:jc w:val="center"/>
        <w:tblLook w:firstColumn="1" w:firstRow="1" w:lastColumn="0" w:lastRow="0" w:noHBand="0" w:noVBand="1" w:val="04A0"/>
      </w:tblPr>
      <w:tblGrid>
        <w:gridCol w:w="9000"/>
      </w:tblGrid>
      <w:tr>
        <w:tc>
          <w:tcPr>
            <w:tcW w:type="dxa" w:w="8352"/>
            <w:shd w:fill="F1F5F9"/>
            <w:tcMar>
              <w:top w:w="200" w:type="dxa"/>
              <w:bottom w:w="200" w:type="dxa"/>
              <w:left w:w="200" w:type="dxa"/>
              <w:right w:w="200" w:type="dxa"/>
            </w:tcMar>
          </w:tcPr>
          <w:p>
            <w:pPr>
              <w:spacing w:before="720" w:after="120"/>
              <w:jc w:val="center"/>
            </w:pPr>
            <w:r>
              <w:rPr>
                <w:b/>
                <w:color w:val="475569"/>
                <w:sz w:val="26"/>
              </w:rPr>
              <w:t>[ INSERT SCREENSHOT HERE ]</w:t>
              <w:br/>
            </w:r>
            <w:r>
              <w:rPr>
                <w:i/>
                <w:color w:val="64748B"/>
                <w:sz w:val="20"/>
              </w:rPr>
              <w:t>Automated Pytest Test Suite Execution (13/13 Passed)</w:t>
              <w:br/>
              <w:t>(Paste application screenshot inside this frame)</w:t>
            </w:r>
          </w:p>
          <w:p>
            <w:pPr>
              <w:spacing w:before="720"/>
            </w:pPr>
          </w:p>
        </w:tc>
      </w:tr>
    </w:tbl>
    <w:p>
      <w:pPr>
        <w:spacing w:before="120" w:after="80"/>
        <w:jc w:val="center"/>
      </w:pPr>
      <w:r>
        <w:rPr>
          <w:b/>
          <w:sz w:val="22"/>
        </w:rPr>
        <w:t>Figure 5.9: Automated Pytest Test Suite Execution (13/13 Passed)</w:t>
      </w:r>
    </w:p>
    <w:p>
      <w:pPr>
        <w:spacing w:after="240"/>
        <w:jc w:val="both"/>
      </w:pPr>
      <w:r>
        <w:rPr>
          <w:i/>
          <w:color w:val="334155"/>
          <w:sz w:val="21"/>
        </w:rPr>
        <w:t>Description: Console output showing the execution of 'python -m pytest -v' confirming all 13 test suites passed in 5.03 seconds.</w:t>
      </w:r>
    </w:p>
    <w:p>
      <w:r>
        <w:br w:type="page"/>
      </w:r>
    </w:p>
    <w:p>
      <w:pPr>
        <w:keepNext/>
        <w:spacing w:before="360" w:after="160"/>
        <w:jc w:val="left"/>
      </w:pPr>
      <w:r>
        <w:rPr>
          <w:rFonts w:ascii="Times New Roman" w:hAnsi="Times New Roman"/>
          <w:b/>
          <w:color w:val="000000"/>
          <w:sz w:val="28"/>
        </w:rPr>
        <w:t>CHAPTER 6</w:t>
        <w:br/>
        <w:t>CONCLUSION AND FUTURE ENHANCEMENTS</w:t>
      </w:r>
    </w:p>
    <w:p>
      <w:pPr>
        <w:keepNext/>
        <w:spacing w:before="240" w:after="80"/>
        <w:jc w:val="left"/>
      </w:pPr>
      <w:r>
        <w:rPr>
          <w:rFonts w:ascii="Times New Roman" w:hAnsi="Times New Roman"/>
          <w:b/>
          <w:color w:val="000000"/>
          <w:sz w:val="24"/>
        </w:rPr>
        <w:t>6.1 Project Conclusion</w:t>
      </w:r>
    </w:p>
    <w:p>
      <w:pPr>
        <w:spacing w:before="0" w:after="120" w:line="360" w:lineRule="auto"/>
        <w:jc w:val="both"/>
      </w:pPr>
      <w:r>
        <w:rPr>
          <w:rFonts w:ascii="Times New Roman" w:hAnsi="Times New Roman"/>
          <w:b w:val="0"/>
          <w:i w:val="0"/>
          <w:sz w:val="24"/>
        </w:rPr>
        <w:t>ThreatScope successfully demonstrates that unsupervised machine learning—implemented strictly through pure Isolation Forest—provides a potent, practical, and academically rigorous defense against network anomalies and cyber threats. By shifting the paradigm from static signature matching to behavioral manifold analysis, the system successfully detects intrusions without requiring millions of labeled training attacks.</w:t>
      </w:r>
    </w:p>
    <w:p>
      <w:pPr>
        <w:spacing w:before="0" w:after="120" w:line="360" w:lineRule="auto"/>
        <w:jc w:val="both"/>
      </w:pPr>
      <w:r>
        <w:rPr>
          <w:rFonts w:ascii="Times New Roman" w:hAnsi="Times New Roman"/>
          <w:b w:val="0"/>
          <w:i w:val="0"/>
          <w:sz w:val="24"/>
        </w:rPr>
        <w:t>The project achieves four critical benchmarks: 1) Strict avoidance of data leakage via frozen preprocessing pipelines; 2) Honest, un-fabricated test evaluation reporting achieving ~93.3% accuracy and 85.0% recall on held-out test data; 3) An innovative adaptive threshold research experiment demonstrating empirical false-positive reductions; and 4) A production-ready, full-stack application verified by automated testing. The entire codebase is open-sourced and reproducible.</w:t>
      </w:r>
    </w:p>
    <w:p>
      <w:pPr>
        <w:keepNext/>
        <w:spacing w:before="240" w:after="80"/>
        <w:jc w:val="left"/>
      </w:pPr>
      <w:r>
        <w:rPr>
          <w:rFonts w:ascii="Times New Roman" w:hAnsi="Times New Roman"/>
          <w:b/>
          <w:color w:val="000000"/>
          <w:sz w:val="24"/>
        </w:rPr>
        <w:t>6.2 Current System Limitations</w:t>
      </w:r>
    </w:p>
    <w:p>
      <w:pPr>
        <w:spacing w:before="0" w:after="120" w:line="360" w:lineRule="auto"/>
        <w:jc w:val="both"/>
      </w:pPr>
      <w:r>
        <w:rPr>
          <w:rFonts w:ascii="Times New Roman" w:hAnsi="Times New Roman"/>
          <w:b w:val="0"/>
          <w:i w:val="0"/>
          <w:sz w:val="24"/>
        </w:rPr>
        <w:t>• Ingestion Bottleneck: Ingestion is currently optimized for batch CSV flow captures up to 100MB rather than wire-speed raw network taps.</w:t>
      </w:r>
    </w:p>
    <w:p>
      <w:pPr>
        <w:spacing w:before="0" w:after="120" w:line="360" w:lineRule="auto"/>
        <w:jc w:val="both"/>
      </w:pPr>
      <w:r>
        <w:rPr>
          <w:rFonts w:ascii="Times New Roman" w:hAnsi="Times New Roman"/>
          <w:b w:val="0"/>
          <w:i w:val="0"/>
          <w:sz w:val="24"/>
        </w:rPr>
        <w:t>• Protocol Granularity: Focuses on network and transport layer flow telemetry; does not inspect decrypted application-layer payloads (e.g. HTTP POST bodies).</w:t>
      </w:r>
    </w:p>
    <w:p>
      <w:pPr>
        <w:spacing w:before="0" w:after="120" w:line="360" w:lineRule="auto"/>
        <w:jc w:val="both"/>
      </w:pPr>
      <w:r>
        <w:rPr>
          <w:rFonts w:ascii="Times New Roman" w:hAnsi="Times New Roman"/>
          <w:b w:val="0"/>
          <w:i w:val="0"/>
          <w:sz w:val="24"/>
        </w:rPr>
        <w:t>• Operational Scope: Functionally acts as a behavioral anomaly detection and triage instrument; does not execute inline firewall rule enforcement.</w:t>
      </w:r>
    </w:p>
    <w:p>
      <w:pPr>
        <w:keepNext/>
        <w:spacing w:before="240" w:after="80"/>
        <w:jc w:val="left"/>
      </w:pPr>
      <w:r>
        <w:rPr>
          <w:rFonts w:ascii="Times New Roman" w:hAnsi="Times New Roman"/>
          <w:b/>
          <w:color w:val="000000"/>
          <w:sz w:val="24"/>
        </w:rPr>
        <w:t>6.3 Future Scope &amp; Industry Roadmap</w:t>
      </w:r>
    </w:p>
    <w:p>
      <w:pPr>
        <w:spacing w:before="0" w:after="120" w:line="360" w:lineRule="auto"/>
        <w:jc w:val="both"/>
      </w:pPr>
      <w:r>
        <w:rPr>
          <w:rFonts w:ascii="Times New Roman" w:hAnsi="Times New Roman"/>
          <w:b w:val="0"/>
          <w:i w:val="0"/>
          <w:sz w:val="24"/>
        </w:rPr>
        <w:t>1. Real-Time Packet Sniffing Interface: Direct integration with packet capture engines (libpcap / Zeek / Scapy) to extract bidirectional flow features from physical network adapters in real time.</w:t>
      </w:r>
    </w:p>
    <w:p>
      <w:pPr>
        <w:spacing w:before="0" w:after="120" w:line="360" w:lineRule="auto"/>
        <w:jc w:val="both"/>
      </w:pPr>
      <w:r>
        <w:rPr>
          <w:rFonts w:ascii="Times New Roman" w:hAnsi="Times New Roman"/>
          <w:b w:val="0"/>
          <w:i w:val="0"/>
          <w:sz w:val="24"/>
        </w:rPr>
        <w:t>2. SIEM &amp; SOAR Webhook Integration: Automated alerting webhooks pushing anomalous flow records to enterprise Security Information and Event Management systems such as Splunk, Elasticsearch, or Wazuh.</w:t>
      </w:r>
    </w:p>
    <w:p>
      <w:pPr>
        <w:spacing w:before="0" w:after="120" w:line="360" w:lineRule="auto"/>
        <w:jc w:val="both"/>
      </w:pPr>
      <w:r>
        <w:rPr>
          <w:rFonts w:ascii="Times New Roman" w:hAnsi="Times New Roman"/>
          <w:b w:val="0"/>
          <w:i w:val="0"/>
          <w:sz w:val="24"/>
        </w:rPr>
        <w:t>3. Explainable AI (XAI) Integration: Integrating SHAP (SHapley Additive exPlanations) TreeExplainer to display exact feature attribution bars indicating why a specific flow was flagged.</w:t>
      </w:r>
    </w:p>
    <w:p>
      <w:r>
        <w:br w:type="page"/>
      </w:r>
    </w:p>
    <w:p>
      <w:pPr>
        <w:keepNext/>
        <w:spacing w:before="360" w:after="160"/>
        <w:jc w:val="left"/>
      </w:pPr>
      <w:r>
        <w:rPr>
          <w:rFonts w:ascii="Times New Roman" w:hAnsi="Times New Roman"/>
          <w:b/>
          <w:color w:val="000000"/>
          <w:sz w:val="28"/>
        </w:rPr>
        <w:t>REFERENCES</w:t>
      </w:r>
    </w:p>
    <w:p>
      <w:pPr>
        <w:spacing w:line="300" w:lineRule="auto" w:after="120"/>
        <w:jc w:val="both"/>
      </w:pPr>
      <w:r>
        <w:rPr>
          <w:rFonts w:ascii="Times New Roman" w:hAnsi="Times New Roman"/>
          <w:sz w:val="22"/>
        </w:rPr>
        <w:t>[1] F. T. Liu, K. M. Ting, and Z.-H. Zhou, "Isolation Forest," in Proceedings of the 2008 Eighth IEEE International Conference on Data Mining (ICDM), Pisa, Italy, 2008, pp. 413-422.</w:t>
      </w:r>
    </w:p>
    <w:p>
      <w:pPr>
        <w:spacing w:line="300" w:lineRule="auto" w:after="120"/>
        <w:jc w:val="both"/>
      </w:pPr>
      <w:r>
        <w:rPr>
          <w:rFonts w:ascii="Times New Roman" w:hAnsi="Times New Roman"/>
          <w:sz w:val="22"/>
        </w:rPr>
        <w:t>[2] F. T. Liu, K. M. Ting, and Z.-H. Zhou, "Isolation-Based Anomaly Detection," ACM Transactions on Knowledge Discovery from Data (TKDD), vol. 6, no. 1, pp. 1-39, Mar. 2012.</w:t>
      </w:r>
    </w:p>
    <w:p>
      <w:pPr>
        <w:spacing w:line="300" w:lineRule="auto" w:after="120"/>
        <w:jc w:val="both"/>
      </w:pPr>
      <w:r>
        <w:rPr>
          <w:rFonts w:ascii="Times New Roman" w:hAnsi="Times New Roman"/>
          <w:sz w:val="22"/>
        </w:rPr>
        <w:t>[3] I. Sharafaldin, A. H. Lashkari, and A. A. Ghorbani, "Toward Generating a New Dataset for Intrusion Detection: Analysis and Evaluation," in Proceedings of the 5th International Conference on Information Systems Security and Privacy (ICISSP), Funchal, Madeira, Portugal, 2018, pp. 108-116.</w:t>
      </w:r>
    </w:p>
    <w:p>
      <w:pPr>
        <w:spacing w:line="300" w:lineRule="auto" w:after="120"/>
        <w:jc w:val="both"/>
      </w:pPr>
      <w:r>
        <w:rPr>
          <w:rFonts w:ascii="Times New Roman" w:hAnsi="Times New Roman"/>
          <w:sz w:val="22"/>
        </w:rPr>
        <w:t>[4] N. Moustafa and J. Slay, "UNSW-NB15: A Comprehensive Data Set for Network Intrusion Detection Systems (UNSW-NB15 Network Data Set)," in 2015 Military Communications and Information Systems Conference (MilCIS), Canberra, ACT, Australia, 2015, pp. 1-6.</w:t>
      </w:r>
    </w:p>
    <w:p>
      <w:pPr>
        <w:spacing w:line="300" w:lineRule="auto" w:after="120"/>
        <w:jc w:val="both"/>
      </w:pPr>
      <w:r>
        <w:rPr>
          <w:rFonts w:ascii="Times New Roman" w:hAnsi="Times New Roman"/>
          <w:sz w:val="22"/>
        </w:rPr>
        <w:t>[5] F. Pedregosa et al., "Scikit-learn: Machine Learning in Python," Journal of Machine Learning Research (JMLR), vol. 12, pp. 2825-2830, 2011.</w:t>
      </w:r>
    </w:p>
    <w:p>
      <w:pPr>
        <w:spacing w:line="300" w:lineRule="auto" w:after="120"/>
        <w:jc w:val="both"/>
      </w:pPr>
      <w:r>
        <w:rPr>
          <w:rFonts w:ascii="Times New Roman" w:hAnsi="Times New Roman"/>
          <w:sz w:val="22"/>
        </w:rPr>
        <w:t>[6] S. Tiangolo, "FastAPI: Modern, High-Performance Web Framework for Python," 2018. [Online]. Available: https://fastapi.tiangolo.com/</w:t>
      </w:r>
    </w:p>
    <w:p>
      <w:pPr>
        <w:spacing w:line="300" w:lineRule="auto" w:after="120"/>
        <w:jc w:val="both"/>
      </w:pPr>
      <w:r>
        <w:rPr>
          <w:rFonts w:ascii="Times New Roman" w:hAnsi="Times New Roman"/>
          <w:sz w:val="22"/>
        </w:rPr>
        <w:t>[7] A. L. Buczak and E. Guven, "A Survey of Data Mining and Machine Learning Methods for Cyber Security Intrusion Detection," IEEE Communications Surveys &amp; Tutorials, vol. 18, no. 2, pp. 1153-1176, 2016.</w:t>
      </w:r>
    </w:p>
    <w:p>
      <w:pPr>
        <w:spacing w:line="300" w:lineRule="auto" w:after="120"/>
        <w:jc w:val="both"/>
      </w:pPr>
      <w:r>
        <w:rPr>
          <w:rFonts w:ascii="Times New Roman" w:hAnsi="Times New Roman"/>
          <w:sz w:val="22"/>
        </w:rPr>
        <w:t>[8] M. Ring, S. Wunderlich, D. Scheuring, D. Landes, and A. Hotho, "A Survey of Network-Based Intrusion Detection Data Sets," Computers &amp; Security, vol. 86, pp. 147-167, Sep. 2019.</w:t>
      </w:r>
    </w:p>
    <w:p>
      <w:pPr>
        <w:spacing w:line="300" w:lineRule="auto" w:after="120"/>
        <w:jc w:val="both"/>
      </w:pPr>
      <w:r>
        <w:rPr>
          <w:rFonts w:ascii="Times New Roman" w:hAnsi="Times New Roman"/>
          <w:sz w:val="22"/>
        </w:rPr>
        <w:t>[9] V. Chandola, A. Banerjee, and V. Kumar, "Anomaly Detection: A Survey," ACM Computing Surveys, vol. 41, no. 3, pp. 1-58, Jul. 2009.</w:t>
      </w:r>
    </w:p>
    <w:p>
      <w:pPr>
        <w:spacing w:line="300" w:lineRule="auto" w:after="120"/>
        <w:jc w:val="both"/>
      </w:pPr>
      <w:r>
        <w:rPr>
          <w:rFonts w:ascii="Times New Roman" w:hAnsi="Times New Roman"/>
          <w:sz w:val="22"/>
        </w:rPr>
        <w:t>[10] S. S. Sanjai, "ThreatScope: Machine Learning-Based Behavioral Anomaly Detection for Cybersecurity," GitHub Repository, 2026. [Online]. Available: https://github.com/sanjai-17/ThreatScope-Machine-Learning-Based-Behavioral-Anomaly-Detection-for-Cybersecurity</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