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val="0"/>
          <w:sz w:val="32"/>
        </w:rPr>
        <w:t>Personalized Breast Cancer Screening Using Offline Reinforcement Learning on Longitudinal Mammography Data</w:t>
      </w:r>
    </w:p>
    <w:p>
      <w:pPr>
        <w:spacing w:after="0" w:before="0"/>
        <w:jc w:val="center"/>
      </w:pPr>
      <w:r>
        <w:rPr>
          <w:rFonts w:ascii="Times New Roman" w:hAnsi="Times New Roman"/>
          <w:b w:val="0"/>
          <w:i w:val="0"/>
          <w:sz w:val="24"/>
        </w:rPr>
        <w:t>Sanjai Satheesh</w:t>
      </w:r>
    </w:p>
    <w:p>
      <w:pPr>
        <w:spacing w:after="0" w:before="0"/>
        <w:jc w:val="center"/>
      </w:pPr>
      <w:r>
        <w:rPr>
          <w:rFonts w:ascii="Times New Roman" w:hAnsi="Times New Roman"/>
          <w:b w:val="0"/>
          <w:i/>
          <w:sz w:val="22"/>
        </w:rPr>
        <w:t>[Department / Institution — to be completed]</w:t>
      </w:r>
    </w:p>
    <w:p>
      <w:pPr>
        <w:spacing w:after="320" w:before="0"/>
        <w:jc w:val="center"/>
      </w:pPr>
      <w:r>
        <w:rPr>
          <w:rFonts w:ascii="Times New Roman" w:hAnsi="Times New Roman"/>
          <w:b w:val="0"/>
          <w:i w:val="0"/>
          <w:sz w:val="22"/>
        </w:rPr>
        <w:t>sanjaisatheesh002@gmail.com</w:t>
      </w:r>
    </w:p>
    <w:p>
      <w:pPr>
        <w:spacing w:after="200"/>
        <w:jc w:val="both"/>
      </w:pPr>
      <w:r>
        <w:rPr>
          <w:b/>
          <w:i/>
          <w:sz w:val="20"/>
        </w:rPr>
        <w:t xml:space="preserve">Abstract— </w:t>
      </w:r>
      <w:r>
        <w:rPr>
          <w:rFonts w:ascii="Times New Roman" w:hAnsi="Times New Roman"/>
          <w:sz w:val="20"/>
        </w:rPr>
        <w:t>Population mammography screening programs recall women at a fixed interval determined almost entirely by age, irrespective of individual risk indicators such as breast density, its temporal change, or prior recall history. This uniform policy allows some cancers to surface between scheduled screens as interval cancers, which are detected at a systematically more advanced stage than screen-detected cancers. This paper investigates whether a personalized screening-interval policy can instead be learned directly from historical screening trajectories using offline reinforcement learning. We formulate personalized screening as a Markov Decision Process over the CSAW-CC (Cohort of Screen-Aged Women, Case-Control) longitudinal mammography dataset, comprising 24,694 screening exams from 8,723 women, of whom 873 were subsequently diagnosed with breast cancer. Each state encodes 29 causal features derived from breast density, its change since the previous visit, and screening history; each action selects among three screening intervals (12, 24, and 36 months) combined with a binary recall decision. Because the logged screening interval is almost entirely determined by age band, the resulting positivity violation renders naive off-policy learning unreliable, and we adopt Conservative Q-Learning to explicitly penalize the value of actions rarely taken by clinicians. Using effective sample size and Fitted Q-Evaluation averaged over multiple random seeds, we further show that importance-sampling-based off-policy estimators carry almost no statistical information in this near-deterministic-behavior regime — a finding with direct implications for offline reinforcement learning in healthcare more broadly. A calibrated natural-history simulator, fit to the dataset's own screen-detected-versus-interval-cancer stage contrast, supplements the offline analysis by evaluating counterfactual intervals absent from the logged data. Together, these results illustrate both the promise and the epistemic limits of offline reinforcement learning for screening-policy design.</w:t>
      </w:r>
    </w:p>
    <w:p>
      <w:pPr>
        <w:spacing w:after="80"/>
        <w:jc w:val="both"/>
      </w:pPr>
      <w:r>
        <w:rPr>
          <w:b/>
          <w:i/>
          <w:sz w:val="20"/>
        </w:rPr>
        <w:t xml:space="preserve">Index Terms— </w:t>
      </w:r>
      <w:r>
        <w:rPr>
          <w:rFonts w:ascii="Times New Roman" w:hAnsi="Times New Roman"/>
          <w:sz w:val="20"/>
        </w:rPr>
        <w:t>Offline reinforcement learning, Conservative Q-Learning, breast cancer screening, Markov Decision Process, off-policy evaluation, personalized medicine, mammography.</w:t>
      </w:r>
    </w:p>
    <w:p>
      <w:r>
        <w:br w:type="page"/>
      </w:r>
    </w:p>
    <w:p>
      <w:pPr>
        <w:spacing w:after="160" w:before="320"/>
        <w:jc w:val="center"/>
      </w:pPr>
      <w:r>
        <w:rPr>
          <w:rFonts w:ascii="Times New Roman" w:hAnsi="Times New Roman"/>
          <w:b/>
          <w:i w:val="0"/>
          <w:sz w:val="24"/>
        </w:rPr>
        <w:t>I. INTRODUCTION</w:t>
      </w:r>
    </w:p>
    <w:p>
      <w:pPr>
        <w:spacing w:after="120" w:before="0"/>
        <w:ind w:firstLine="288"/>
        <w:jc w:val="both"/>
      </w:pPr>
      <w:r>
        <w:rPr>
          <w:rFonts w:ascii="Times New Roman" w:hAnsi="Times New Roman"/>
          <w:b w:val="0"/>
          <w:i w:val="0"/>
          <w:sz w:val="22"/>
        </w:rPr>
        <w:t>Breast cancer remains one of the most common malignancies diagnosed in women, and organized mammography screening is credited with meaningfully reducing mortality by detecting tumors before they become symptomatic. The benefit of screening, however, depends heavily on timing: a cancer that grows undetected between two scheduled screens — an interval cancer — is on average found later and at a more advanced stage than one caught at a routine screen. National screening programs nonetheless assign the same interval to every woman in a given age band. In Sweden, for instance, women aged 40 to 54 are invited every 18 months and women aged 55 and older every 24 months, irrespective of breast density, prior recall history, or any other individual signal collected at the time of screening. This one-size-fits-all interval trades off two costs that are individually variable: the harm of screening too infrequently, measured in delayed detection and worse staging, against the harm of screening too frequently, measured in unnecessary exams, false-positive recalls, and the associated anxiety and cost.</w:t>
      </w:r>
    </w:p>
    <w:p>
      <w:pPr>
        <w:spacing w:after="120" w:before="0"/>
        <w:ind w:firstLine="288"/>
        <w:jc w:val="both"/>
      </w:pPr>
      <w:r>
        <w:rPr>
          <w:rFonts w:ascii="Times New Roman" w:hAnsi="Times New Roman"/>
          <w:b w:val="0"/>
          <w:i w:val="0"/>
          <w:sz w:val="22"/>
        </w:rPr>
        <w:t>A screening program is naturally a sequential decision problem. At each visit, a clinician (or programme protocol) observes the woman's current state and chooses how long to wait until the next invitation and whether to recall her immediately for further work-up; the consequences of that choice are only observed at the next visit or, in the worst case, when a cancer later presents symptomatically. This structure — states, actions, delayed and stochastic consequences — is exactly what Markov Decision Processes (MDPs) and reinforcement learning (RL) are designed to model. It is tempting, therefore, to treat personalized screening-interval selection as an RL problem: learn a policy that maps a woman's screening history to a recommended interval, optimizing some notion of expected long-run harm.</w:t>
      </w:r>
    </w:p>
    <w:p>
      <w:pPr>
        <w:spacing w:after="120" w:before="0"/>
        <w:ind w:firstLine="288"/>
        <w:jc w:val="both"/>
      </w:pPr>
      <w:r>
        <w:rPr>
          <w:rFonts w:ascii="Times New Roman" w:hAnsi="Times New Roman"/>
          <w:b w:val="0"/>
          <w:i w:val="0"/>
          <w:sz w:val="22"/>
        </w:rPr>
        <w:t>What makes this problem unusual, relative to the settings in which RL is normally developed, is that experimentation is not available. No screening program can, for ethical and practical reasons, randomly assign women to a six-month or five-year interval to observe what happens; the only data available are the intervals clinicians actually chose, following the fixed protocol described above. This rules out standard online RL algorithms, which learn by interacting with an environment and observing the consequences of their own actions. It places this problem squarely in the domain of offline (batch) reinforcement learning, in which a policy must be learned entirely from a fixed, previously logged dataset, with no further interaction with the environment during training.</w:t>
      </w:r>
    </w:p>
    <w:p>
      <w:pPr>
        <w:spacing w:after="120" w:before="0"/>
        <w:ind w:firstLine="288"/>
        <w:jc w:val="both"/>
      </w:pPr>
      <w:r>
        <w:rPr>
          <w:rFonts w:ascii="Times New Roman" w:hAnsi="Times New Roman"/>
          <w:b w:val="0"/>
          <w:i w:val="0"/>
          <w:sz w:val="22"/>
        </w:rPr>
        <w:t>Offline RL introduces a well-documented failure mode that is especially severe in this dataset: when the logged behavior policy provides little or no coverage of some actions, algorithms that estimate action values by bootstrapping from a learned model — including standard Q-learning and its variants — can produce arbitrarily large, unconstrained value estimates for those unobserved actions. This is called extrapolation error, and it is not a hypothetical concern here: because the screening interval in this dataset is almost entirely determined by age band, a naive Q-learning agent asked to evaluate a six-month interval, which no woman in the dataset ever received, is extrapolating into a region the data cannot inform, and nothing in its training loss will contradict a confidently wrong answer. This paper adopts Conservative Q-Learning (CQL), an offline RL algorithm that explicitly penalizes the value of actions the logged data does not support, as a direct response to this failure mode, and quantifies the extent of the underlying data coverage problem using formal diagnostics rather than treating it as a footnote.</w:t>
      </w:r>
    </w:p>
    <w:p>
      <w:pPr>
        <w:spacing w:after="120" w:before="0"/>
        <w:ind w:firstLine="288"/>
        <w:jc w:val="both"/>
      </w:pPr>
      <w:r>
        <w:rPr>
          <w:rFonts w:ascii="Times New Roman" w:hAnsi="Times New Roman"/>
          <w:b w:val="0"/>
          <w:i w:val="0"/>
          <w:sz w:val="22"/>
        </w:rPr>
        <w:t>This paper makes four contributions. First, it formulates personalized breast-cancer screening as an MDP grounded in the CSAW-CC longitudinal mammography cohort, with a state representation, action space, and reward function each justified against specific properties of the data rather than assumed a priori. Second, it applies Conservative Q-Learning to this MDP and reports its behavior alongside a set of clinically motivated baseline policies, evaluated using an off-policy protocol appropriate for a near-deterministic behavior policy. Third, it demonstrates empirically — using effective sample size and multi-seed Fitted Q-Evaluation — that standard importance-sampling-based off-policy estimators are statistically uninformative in this regime, a cautionary result relevant to any offline RL study built on similarly structured registry data. Fourth, it introduces a calibrated natural-history simulator, fit to the dataset's own empirical contrast between screen-detected and interval cancers, as a complementary tool for evaluating screening intervals that the logged data cannot support at all.</w:t>
      </w:r>
    </w:p>
    <w:p>
      <w:pPr>
        <w:spacing w:after="120" w:before="0"/>
        <w:ind w:firstLine="288"/>
        <w:jc w:val="both"/>
      </w:pPr>
      <w:r>
        <w:rPr>
          <w:rFonts w:ascii="Times New Roman" w:hAnsi="Times New Roman"/>
          <w:b w:val="0"/>
          <w:i w:val="0"/>
          <w:sz w:val="22"/>
        </w:rPr>
        <w:t>The remainder of this paper is organized as follows. Section II surveys related work in reinforcement learning for healthcare, offline RL methodology, and breast cancer screening policy. Section III describes the dataset, preprocessing pipeline, MDP formulation, offline RL algorithm, network architecture, training procedure, and evaluation protocol. Section IV details the experimental setup. Section V reports results from both the offline learning arm and the simulator arm. Sections VI through VIII discuss the implications, limitations, and future directions of this work, and Section IX concludes.</w:t>
      </w:r>
    </w:p>
    <w:p>
      <w:pPr>
        <w:spacing w:after="160" w:before="320"/>
        <w:jc w:val="center"/>
      </w:pPr>
      <w:r>
        <w:rPr>
          <w:rFonts w:ascii="Times New Roman" w:hAnsi="Times New Roman"/>
          <w:b/>
          <w:i w:val="0"/>
          <w:sz w:val="24"/>
        </w:rPr>
        <w:t>II. RELATED WORK</w:t>
      </w:r>
    </w:p>
    <w:p>
      <w:pPr>
        <w:spacing w:after="120" w:before="0"/>
        <w:ind w:firstLine="288"/>
        <w:jc w:val="both"/>
      </w:pPr>
      <w:r>
        <w:rPr>
          <w:rFonts w:ascii="Times New Roman" w:hAnsi="Times New Roman"/>
          <w:b w:val="0"/>
          <w:i w:val="0"/>
          <w:sz w:val="22"/>
        </w:rPr>
        <w:t>Reinforcement learning has been applied to a range of sequential clinical decision problems in which treatment or monitoring choices unfold over time and their consequences are only partially observed. Komorowski et al. [13] used a discretized MDP formulation with Q-learning to derive treatment strategies for sepsis in intensive care, learning entirely from retrospective electronic health record data. Similar retrospective, offline formulations have been applied to mechanical ventilation weaning [14] and to sepsis treatment more broadly using deep Q-networks [15]. These studies share the same structural constraint faced here — a fixed, retrospectively collected dataset with no possibility of live experimentation — and collectively motivated a body of guidance on evaluating clinical RL policies responsibly [16], including explicit warnings against deploying a policy whose value has not been validated by an estimator suited to strongly biased or near-deterministic behavior data.</w:t>
      </w:r>
    </w:p>
    <w:p>
      <w:pPr>
        <w:spacing w:after="120" w:before="0"/>
        <w:ind w:firstLine="288"/>
        <w:jc w:val="both"/>
      </w:pPr>
      <w:r>
        <w:rPr>
          <w:rFonts w:ascii="Times New Roman" w:hAnsi="Times New Roman"/>
          <w:b w:val="0"/>
          <w:i w:val="0"/>
          <w:sz w:val="22"/>
        </w:rPr>
        <w:t>The core algorithmic challenge in all such settings is distributional shift between the policy being learned and the policy that generated the data. Standard deep Q-learning [1], together with refinements such as Double Q-learning [2], dueling network architectures [3], and distributional (quantile-regression) value estimation [4], [5], were developed for the online setting, in which an agent's own exploratory actions correct erroneous value estimates through further interaction. Offline, this correction mechanism is unavailable, and naive application of these methods is known to produce severe extrapolation error on actions absent from the logged data. A family of offline-specific algorithms addresses this directly: Batch-Constrained deep Q-learning [6] restricts the learned policy to actions with support under a generative model of the behavior policy; Conservative Q-Learning [7] instead adds a regularizer to the Q-learning objective that pushes down the value of actions not observed in the state, yielding a provable lower bound on the true value function; and Implicit Q-Learning [9] avoids querying out-of-distribution actions altogether by learning purely from state-conditional expectiles. This paper adopts Conservative Q-Learning because its conservatism term degrades gracefully as behavior-policy coverage narrows [8] — precisely the property required when, as in this dataset, entire regions of the action space have no logged support at all.</w:t>
      </w:r>
    </w:p>
    <w:p>
      <w:pPr>
        <w:spacing w:after="120" w:before="0"/>
        <w:ind w:firstLine="288"/>
        <w:jc w:val="both"/>
      </w:pPr>
      <w:r>
        <w:rPr>
          <w:rFonts w:ascii="Times New Roman" w:hAnsi="Times New Roman"/>
          <w:b w:val="0"/>
          <w:i w:val="0"/>
          <w:sz w:val="22"/>
        </w:rPr>
        <w:t>Because a learned offline policy cannot be validated by deploying it, its value must instead be estimated from the same logged data used to train it, a problem known as off-policy evaluation (OPE). Classical OPE relies on importance sampling [10], reweighting observed returns by the ratio of the evaluation policy's probability to the behavior policy's probability under each logged action; per-decision and doubly robust variants [11] reduce variance by incorporating a fitted value model alongside the importance weights. All importance-sampling-based estimators, however, degrade in a specific and diagnosable way when the behavior policy is close to deterministic: the effective sample size of the reweighted data collapses, because a small number of trajectories receive almost all of the importance weight. Fitted Q-Evaluation (FQE), which instead estimates the evaluation policy's value by fitting a Q-function under the evaluation policy's own actions, does not suffer this specific failure mode, though it remains sensitive to model class and training variance [12]. This paper uses both effective sample size and multi-seed FQE explicitly to diagnose which of its own reported comparisons can be trusted, following a policy of surfacing OPE reliability rather than reporting a single point estimate as ground truth.</w:t>
      </w:r>
    </w:p>
    <w:p>
      <w:pPr>
        <w:spacing w:after="120" w:before="0"/>
        <w:ind w:firstLine="288"/>
        <w:jc w:val="both"/>
      </w:pPr>
      <w:r>
        <w:rPr>
          <w:rFonts w:ascii="Times New Roman" w:hAnsi="Times New Roman"/>
          <w:b w:val="0"/>
          <w:i w:val="0"/>
          <w:sz w:val="22"/>
        </w:rPr>
        <w:t>Machine learning applied to breast cancer screening has so far concentrated overwhelmingly on risk stratification — estimating a woman's probability of developing cancer, or the probability that a given mammogram already contains one, using deep image models or tabular risk factors — rather than on the decision of when to invite her back. Epidemiological studies of organized screening programs have separately established that interval cancers are diagnosed at a systematically worse stage than screen-detected cancers [19], [20], and that the benefit-harm balance of a given screening interval depends on population and individual risk factors [21], most notably breast density, which both elevates cancer risk and reduces the sensitivity of the mammogram itself. These two literatures — risk prediction and screening epidemiology — motivate the case for personalized intervals but do not, on their own, prescribe a policy: a risk score is a prediction, not a decision rule, and translating one into the other requires exactly the kind of sequential decision formulation this paper adopts. The CSAW-CC dataset used here is a case-control subset of the Cohort of Screen-Aged Women [18], a large Swedish mammography cohort assembled specifically to support this kind of retrospective analysis at scale.</w:t>
      </w:r>
    </w:p>
    <w:p>
      <w:pPr>
        <w:spacing w:after="120" w:before="0"/>
        <w:ind w:firstLine="288"/>
        <w:jc w:val="both"/>
      </w:pPr>
      <w:r>
        <w:rPr>
          <w:rFonts w:ascii="Times New Roman" w:hAnsi="Times New Roman"/>
          <w:b w:val="0"/>
          <w:i w:val="0"/>
          <w:sz w:val="22"/>
        </w:rPr>
        <w:t>This paper differs from the risk-prediction literature by learning a screening-interval policy directly, rather than a risk score requiring a separate downstream decision rule; from prior clinical offline-RL work by explicitly diagnosing, rather than assuming, the degree to which its off-policy value estimates can be trusted; and from a purely offline treatment by pairing the learned policy with a mechanistic natural-history simulator, calibrated to the dataset's own stage-at-detection statistics, that can evaluate screening intervals the logged data does not support at all.</w:t>
      </w:r>
    </w:p>
    <w:p>
      <w:pPr>
        <w:spacing w:after="160" w:before="320"/>
        <w:jc w:val="center"/>
      </w:pPr>
      <w:r>
        <w:rPr>
          <w:rFonts w:ascii="Times New Roman" w:hAnsi="Times New Roman"/>
          <w:b/>
          <w:i w:val="0"/>
          <w:sz w:val="24"/>
        </w:rPr>
        <w:t>III. MATERIALS AND METHODS</w:t>
      </w:r>
    </w:p>
    <w:p>
      <w:pPr>
        <w:spacing w:before="200" w:after="80"/>
      </w:pPr>
      <w:r>
        <w:rPr>
          <w:rFonts w:ascii="Times New Roman" w:hAnsi="Times New Roman"/>
          <w:b/>
          <w:i/>
          <w:sz w:val="22"/>
        </w:rPr>
        <w:t>A. Dataset (CSAW-CC)</w:t>
      </w:r>
    </w:p>
    <w:p>
      <w:pPr>
        <w:spacing w:after="120" w:before="0"/>
        <w:ind w:firstLine="288"/>
        <w:jc w:val="both"/>
      </w:pPr>
      <w:r>
        <w:rPr>
          <w:rFonts w:ascii="Times New Roman" w:hAnsi="Times New Roman"/>
          <w:b w:val="0"/>
          <w:i w:val="0"/>
          <w:sz w:val="22"/>
        </w:rPr>
        <w:t>This study uses CSAW-CC (Cohort of Screen-Aged Women, Case-Control), a longitudinal mammography dataset curated at Karolinska Institutet as a case-control subset of the larger CSAW cohort [18]. The raw data comprise 98,788 individual mammogram images, each one of four standard views (left and right breast, craniocaudal and mediolateral-oblique projection) acquired during 24,694 screening exams from 8,723 women screened between 2008 and 2016. Of these women, 873 (10.0%) were subsequently diagnosed with breast cancer and 7,850 (90.0%) were not; because cases were included exhaustively while controls were sampled, this 10.0% patient-level prevalence substantially overstates the roughly 0.6% prevalence of a real screening round and is corrected for explicitly in the reward computation (§III-C.4).</w:t>
      </w:r>
    </w:p>
    <w:p>
      <w:pPr>
        <w:spacing w:after="120" w:before="0"/>
        <w:ind w:firstLine="288"/>
        <w:jc w:val="both"/>
      </w:pPr>
      <w:r>
        <w:rPr>
          <w:rFonts w:ascii="Times New Roman" w:hAnsi="Times New Roman"/>
          <w:b w:val="0"/>
          <w:i w:val="0"/>
          <w:sz w:val="22"/>
        </w:rPr>
        <w:t>Each exam records breast density, measured by the LIBRA software as percent dense area separately for the left and right breast, together with two independent radiologist reads and a binary recall decision indicating whether the woman was called back for further work-up. Age is recorded only as a two-level band (40–54 versus 55 and older) rather than as a continuous value, matching the two age groups to which the Swedish programme assigns different invitation intervals. A per-exam outcome variable records, for exams belonging to a woman later diagnosed with cancer, the temporal relationship between that exam and the eventual diagnosis: the diagnosis occurred at that exam (screen-detected), the diagnosis occurred 60 to 729 days after that exam (an interval cancer), or the diagnosis occurred 730 or more days after that exam. Applying this variable to each patient's last recorded exam, and finding zero violations of temporal monotonicity across all 873 case patients, yields a clean three-way patient-level outcome: 524 patients screen-detected, 217 patients diagnosed with an interval cancer, and the remaining 132 case patients together with all 7,850 controls — 7,982 patients in total — administratively censored, meaning observation of the woman simply ended without a diagnosis captured inside the recorded exam sequence.</w:t>
      </w:r>
    </w:p>
    <w:p>
      <w:pPr>
        <w:spacing w:after="120" w:before="0"/>
        <w:ind w:firstLine="288"/>
        <w:jc w:val="both"/>
      </w:pPr>
      <w:r>
        <w:rPr>
          <w:rFonts w:ascii="Times New Roman" w:hAnsi="Times New Roman"/>
          <w:b w:val="0"/>
          <w:i w:val="0"/>
          <w:sz w:val="22"/>
        </w:rPr>
        <w:t>Table I summarizes the dataset. The key structural property that shapes every downstream design decision in this paper is visible in the relationship between the logged inter-exam gap and age band: among gaps of exactly one year, 2,637 belong to women in the younger age band versus 25 in the older band; among gaps of exactly two years, 4,750 belong to the younger band versus 6,356 in the older band. Ninety-six point seven percent of all logged gaps fall within one, two, or three years, and their distribution is almost entirely explained by age band alone. In other words, the interval a woman received in this dataset was, in practice, dictated by the national protocol rather than by any clinical judgment specific to her, and virtually no woman was screened at an interval shorter than twelve months. This is a textbook positivity violation, and it is the central methodological obstacle this paper is built to address (§III-D).</w:t>
      </w:r>
    </w:p>
    <w:p>
      <w:pPr>
        <w:spacing w:after="0" w:before="200"/>
        <w:jc w:val="center"/>
      </w:pPr>
      <w:r>
        <w:rPr>
          <w:rFonts w:ascii="Times New Roman" w:hAnsi="Times New Roman"/>
          <w:b w:val="0"/>
          <w:i w:val="0"/>
          <w:sz w:val="20"/>
        </w:rPr>
        <w:t>TABLE I</w:t>
      </w:r>
    </w:p>
    <w:p>
      <w:pPr>
        <w:spacing w:after="80" w:before="0"/>
        <w:jc w:val="center"/>
      </w:pPr>
      <w:r>
        <w:rPr>
          <w:rFonts w:ascii="Times New Roman" w:hAnsi="Times New Roman"/>
          <w:b w:val="0"/>
          <w:i w:val="0"/>
          <w:sz w:val="20"/>
        </w:rPr>
        <w:t>DATASET CHARACTERISTICS</w:t>
      </w:r>
    </w:p>
    <w:tbl>
      <w:tblPr>
        <w:tblStyle w:val="TableGrid"/>
        <w:tblW w:type="auto" w:w="0"/>
        <w:jc w:val="center"/>
        <w:tblLook w:firstColumn="1" w:firstRow="1" w:lastColumn="0" w:lastRow="0" w:noHBand="0" w:noVBand="1" w:val="04A0"/>
      </w:tblPr>
      <w:tblGrid>
        <w:gridCol w:w="4680"/>
        <w:gridCol w:w="4680"/>
      </w:tblGrid>
      <w:tr>
        <w:tc>
          <w:tcPr>
            <w:tcW w:type="dxa" w:w="5040"/>
            <w:shd w:val="clear" w:color="auto" w:fill="D9D9D9"/>
          </w:tcPr>
          <w:p>
            <w:pPr>
              <w:jc w:val="center"/>
            </w:pPr>
            <w:r/>
            <w:r>
              <w:rPr>
                <w:rFonts w:ascii="Times New Roman" w:hAnsi="Times New Roman"/>
                <w:b/>
                <w:sz w:val="18"/>
              </w:rPr>
              <w:t>Characteristic</w:t>
            </w:r>
          </w:p>
        </w:tc>
        <w:tc>
          <w:tcPr>
            <w:tcW w:type="dxa" w:w="2880"/>
            <w:shd w:val="clear" w:color="auto" w:fill="D9D9D9"/>
          </w:tcPr>
          <w:p>
            <w:pPr>
              <w:jc w:val="center"/>
            </w:pPr>
            <w:r/>
            <w:r>
              <w:rPr>
                <w:rFonts w:ascii="Times New Roman" w:hAnsi="Times New Roman"/>
                <w:b/>
                <w:sz w:val="18"/>
              </w:rPr>
              <w:t>Value</w:t>
            </w:r>
          </w:p>
        </w:tc>
      </w:tr>
      <w:tr>
        <w:tc>
          <w:tcPr>
            <w:tcW w:type="dxa" w:w="5040"/>
          </w:tcPr>
          <w:p>
            <w:pPr>
              <w:jc w:val="left"/>
            </w:pPr>
            <w:r/>
            <w:r>
              <w:rPr>
                <w:rFonts w:ascii="Times New Roman" w:hAnsi="Times New Roman"/>
                <w:sz w:val="18"/>
              </w:rPr>
              <w:t>Total mammogram images</w:t>
            </w:r>
          </w:p>
        </w:tc>
        <w:tc>
          <w:tcPr>
            <w:tcW w:type="dxa" w:w="2880"/>
          </w:tcPr>
          <w:p>
            <w:pPr>
              <w:jc w:val="center"/>
            </w:pPr>
            <w:r/>
            <w:r>
              <w:rPr>
                <w:rFonts w:ascii="Times New Roman" w:hAnsi="Times New Roman"/>
                <w:sz w:val="18"/>
              </w:rPr>
              <w:t>98,788</w:t>
            </w:r>
          </w:p>
        </w:tc>
      </w:tr>
      <w:tr>
        <w:tc>
          <w:tcPr>
            <w:tcW w:type="dxa" w:w="5040"/>
          </w:tcPr>
          <w:p>
            <w:pPr>
              <w:jc w:val="left"/>
            </w:pPr>
            <w:r/>
            <w:r>
              <w:rPr>
                <w:rFonts w:ascii="Times New Roman" w:hAnsi="Times New Roman"/>
                <w:sz w:val="18"/>
              </w:rPr>
              <w:t>Total screening exams</w:t>
            </w:r>
          </w:p>
        </w:tc>
        <w:tc>
          <w:tcPr>
            <w:tcW w:type="dxa" w:w="2880"/>
          </w:tcPr>
          <w:p>
            <w:pPr>
              <w:jc w:val="center"/>
            </w:pPr>
            <w:r/>
            <w:r>
              <w:rPr>
                <w:rFonts w:ascii="Times New Roman" w:hAnsi="Times New Roman"/>
                <w:sz w:val="18"/>
              </w:rPr>
              <w:t>24,694</w:t>
            </w:r>
          </w:p>
        </w:tc>
      </w:tr>
      <w:tr>
        <w:tc>
          <w:tcPr>
            <w:tcW w:type="dxa" w:w="5040"/>
          </w:tcPr>
          <w:p>
            <w:pPr>
              <w:jc w:val="left"/>
            </w:pPr>
            <w:r/>
            <w:r>
              <w:rPr>
                <w:rFonts w:ascii="Times New Roman" w:hAnsi="Times New Roman"/>
                <w:sz w:val="18"/>
              </w:rPr>
              <w:t>Total patients</w:t>
            </w:r>
          </w:p>
        </w:tc>
        <w:tc>
          <w:tcPr>
            <w:tcW w:type="dxa" w:w="2880"/>
          </w:tcPr>
          <w:p>
            <w:pPr>
              <w:jc w:val="center"/>
            </w:pPr>
            <w:r/>
            <w:r>
              <w:rPr>
                <w:rFonts w:ascii="Times New Roman" w:hAnsi="Times New Roman"/>
                <w:sz w:val="18"/>
              </w:rPr>
              <w:t>8,723</w:t>
            </w:r>
          </w:p>
        </w:tc>
      </w:tr>
      <w:tr>
        <w:tc>
          <w:tcPr>
            <w:tcW w:type="dxa" w:w="5040"/>
          </w:tcPr>
          <w:p>
            <w:pPr>
              <w:jc w:val="left"/>
            </w:pPr>
            <w:r/>
            <w:r>
              <w:rPr>
                <w:rFonts w:ascii="Times New Roman" w:hAnsi="Times New Roman"/>
                <w:sz w:val="18"/>
              </w:rPr>
              <w:t>Case patients (cancer diagnosis)</w:t>
            </w:r>
          </w:p>
        </w:tc>
        <w:tc>
          <w:tcPr>
            <w:tcW w:type="dxa" w:w="2880"/>
          </w:tcPr>
          <w:p>
            <w:pPr>
              <w:jc w:val="center"/>
            </w:pPr>
            <w:r/>
            <w:r>
              <w:rPr>
                <w:rFonts w:ascii="Times New Roman" w:hAnsi="Times New Roman"/>
                <w:sz w:val="18"/>
              </w:rPr>
              <w:t>873 (10.0%)</w:t>
            </w:r>
          </w:p>
        </w:tc>
      </w:tr>
      <w:tr>
        <w:tc>
          <w:tcPr>
            <w:tcW w:type="dxa" w:w="5040"/>
          </w:tcPr>
          <w:p>
            <w:pPr>
              <w:jc w:val="left"/>
            </w:pPr>
            <w:r/>
            <w:r>
              <w:rPr>
                <w:rFonts w:ascii="Times New Roman" w:hAnsi="Times New Roman"/>
                <w:sz w:val="18"/>
              </w:rPr>
              <w:t>Control patients</w:t>
            </w:r>
          </w:p>
        </w:tc>
        <w:tc>
          <w:tcPr>
            <w:tcW w:type="dxa" w:w="2880"/>
          </w:tcPr>
          <w:p>
            <w:pPr>
              <w:jc w:val="center"/>
            </w:pPr>
            <w:r/>
            <w:r>
              <w:rPr>
                <w:rFonts w:ascii="Times New Roman" w:hAnsi="Times New Roman"/>
                <w:sz w:val="18"/>
              </w:rPr>
              <w:t>7,850 (90.0%)</w:t>
            </w:r>
          </w:p>
        </w:tc>
      </w:tr>
      <w:tr>
        <w:tc>
          <w:tcPr>
            <w:tcW w:type="dxa" w:w="5040"/>
          </w:tcPr>
          <w:p>
            <w:pPr>
              <w:jc w:val="left"/>
            </w:pPr>
            <w:r/>
            <w:r>
              <w:rPr>
                <w:rFonts w:ascii="Times New Roman" w:hAnsi="Times New Roman"/>
                <w:sz w:val="18"/>
              </w:rPr>
              <w:t>Mean visits per patient</w:t>
            </w:r>
          </w:p>
        </w:tc>
        <w:tc>
          <w:tcPr>
            <w:tcW w:type="dxa" w:w="2880"/>
          </w:tcPr>
          <w:p>
            <w:pPr>
              <w:jc w:val="center"/>
            </w:pPr>
            <w:r/>
            <w:r>
              <w:rPr>
                <w:rFonts w:ascii="Times New Roman" w:hAnsi="Times New Roman"/>
                <w:sz w:val="18"/>
              </w:rPr>
              <w:t>2.8</w:t>
            </w:r>
          </w:p>
        </w:tc>
      </w:tr>
      <w:tr>
        <w:tc>
          <w:tcPr>
            <w:tcW w:type="dxa" w:w="5040"/>
          </w:tcPr>
          <w:p>
            <w:pPr>
              <w:jc w:val="left"/>
            </w:pPr>
            <w:r/>
            <w:r>
              <w:rPr>
                <w:rFonts w:ascii="Times New Roman" w:hAnsi="Times New Roman"/>
                <w:sz w:val="18"/>
              </w:rPr>
              <w:t>Screen-detected patients (final exam)</w:t>
            </w:r>
          </w:p>
        </w:tc>
        <w:tc>
          <w:tcPr>
            <w:tcW w:type="dxa" w:w="2880"/>
          </w:tcPr>
          <w:p>
            <w:pPr>
              <w:jc w:val="center"/>
            </w:pPr>
            <w:r/>
            <w:r>
              <w:rPr>
                <w:rFonts w:ascii="Times New Roman" w:hAnsi="Times New Roman"/>
                <w:sz w:val="18"/>
              </w:rPr>
              <w:t>524</w:t>
            </w:r>
          </w:p>
        </w:tc>
      </w:tr>
      <w:tr>
        <w:tc>
          <w:tcPr>
            <w:tcW w:type="dxa" w:w="5040"/>
          </w:tcPr>
          <w:p>
            <w:pPr>
              <w:jc w:val="left"/>
            </w:pPr>
            <w:r/>
            <w:r>
              <w:rPr>
                <w:rFonts w:ascii="Times New Roman" w:hAnsi="Times New Roman"/>
                <w:sz w:val="18"/>
              </w:rPr>
              <w:t>Interval-cancer patients (final exam)</w:t>
            </w:r>
          </w:p>
        </w:tc>
        <w:tc>
          <w:tcPr>
            <w:tcW w:type="dxa" w:w="2880"/>
          </w:tcPr>
          <w:p>
            <w:pPr>
              <w:jc w:val="center"/>
            </w:pPr>
            <w:r/>
            <w:r>
              <w:rPr>
                <w:rFonts w:ascii="Times New Roman" w:hAnsi="Times New Roman"/>
                <w:sz w:val="18"/>
              </w:rPr>
              <w:t>217</w:t>
            </w:r>
          </w:p>
        </w:tc>
      </w:tr>
      <w:tr>
        <w:tc>
          <w:tcPr>
            <w:tcW w:type="dxa" w:w="5040"/>
          </w:tcPr>
          <w:p>
            <w:pPr>
              <w:jc w:val="left"/>
            </w:pPr>
            <w:r/>
            <w:r>
              <w:rPr>
                <w:rFonts w:ascii="Times New Roman" w:hAnsi="Times New Roman"/>
                <w:sz w:val="18"/>
              </w:rPr>
              <w:t>Administratively censored patients</w:t>
            </w:r>
          </w:p>
        </w:tc>
        <w:tc>
          <w:tcPr>
            <w:tcW w:type="dxa" w:w="2880"/>
          </w:tcPr>
          <w:p>
            <w:pPr>
              <w:jc w:val="center"/>
            </w:pPr>
            <w:r/>
            <w:r>
              <w:rPr>
                <w:rFonts w:ascii="Times New Roman" w:hAnsi="Times New Roman"/>
                <w:sz w:val="18"/>
              </w:rPr>
              <w:t>7,982</w:t>
            </w:r>
          </w:p>
        </w:tc>
      </w:tr>
      <w:tr>
        <w:tc>
          <w:tcPr>
            <w:tcW w:type="dxa" w:w="5040"/>
          </w:tcPr>
          <w:p>
            <w:pPr>
              <w:jc w:val="left"/>
            </w:pPr>
            <w:r/>
            <w:r>
              <w:rPr>
                <w:rFonts w:ascii="Times New Roman" w:hAnsi="Times New Roman"/>
                <w:sz w:val="18"/>
              </w:rPr>
              <w:t>Node-positive rate, screen-detected</w:t>
            </w:r>
          </w:p>
        </w:tc>
        <w:tc>
          <w:tcPr>
            <w:tcW w:type="dxa" w:w="2880"/>
          </w:tcPr>
          <w:p>
            <w:pPr>
              <w:jc w:val="center"/>
            </w:pPr>
            <w:r/>
            <w:r>
              <w:rPr>
                <w:rFonts w:ascii="Times New Roman" w:hAnsi="Times New Roman"/>
                <w:sz w:val="18"/>
              </w:rPr>
              <w:t>22.9%</w:t>
            </w:r>
          </w:p>
        </w:tc>
      </w:tr>
      <w:tr>
        <w:tc>
          <w:tcPr>
            <w:tcW w:type="dxa" w:w="5040"/>
          </w:tcPr>
          <w:p>
            <w:pPr>
              <w:jc w:val="left"/>
            </w:pPr>
            <w:r/>
            <w:r>
              <w:rPr>
                <w:rFonts w:ascii="Times New Roman" w:hAnsi="Times New Roman"/>
                <w:sz w:val="18"/>
              </w:rPr>
              <w:t>Node-positive rate, interval cancer</w:t>
            </w:r>
          </w:p>
        </w:tc>
        <w:tc>
          <w:tcPr>
            <w:tcW w:type="dxa" w:w="2880"/>
          </w:tcPr>
          <w:p>
            <w:pPr>
              <w:jc w:val="center"/>
            </w:pPr>
            <w:r/>
            <w:r>
              <w:rPr>
                <w:rFonts w:ascii="Times New Roman" w:hAnsi="Times New Roman"/>
                <w:sz w:val="18"/>
              </w:rPr>
              <w:t>34.1%</w:t>
            </w:r>
          </w:p>
        </w:tc>
      </w:tr>
      <w:tr>
        <w:tc>
          <w:tcPr>
            <w:tcW w:type="dxa" w:w="5040"/>
          </w:tcPr>
          <w:p>
            <w:pPr>
              <w:jc w:val="left"/>
            </w:pPr>
            <w:r/>
            <w:r>
              <w:rPr>
                <w:rFonts w:ascii="Times New Roman" w:hAnsi="Times New Roman"/>
                <w:sz w:val="18"/>
              </w:rPr>
              <w:t>Tumor &gt;15 mm, screen-detected</w:t>
            </w:r>
          </w:p>
        </w:tc>
        <w:tc>
          <w:tcPr>
            <w:tcW w:type="dxa" w:w="2880"/>
          </w:tcPr>
          <w:p>
            <w:pPr>
              <w:jc w:val="center"/>
            </w:pPr>
            <w:r/>
            <w:r>
              <w:rPr>
                <w:rFonts w:ascii="Times New Roman" w:hAnsi="Times New Roman"/>
                <w:sz w:val="18"/>
              </w:rPr>
              <w:t>40.8%</w:t>
            </w:r>
          </w:p>
        </w:tc>
      </w:tr>
      <w:tr>
        <w:tc>
          <w:tcPr>
            <w:tcW w:type="dxa" w:w="5040"/>
          </w:tcPr>
          <w:p>
            <w:pPr>
              <w:jc w:val="left"/>
            </w:pPr>
            <w:r/>
            <w:r>
              <w:rPr>
                <w:rFonts w:ascii="Times New Roman" w:hAnsi="Times New Roman"/>
                <w:sz w:val="18"/>
              </w:rPr>
              <w:t>Tumor &gt;15 mm, interval cancer</w:t>
            </w:r>
          </w:p>
        </w:tc>
        <w:tc>
          <w:tcPr>
            <w:tcW w:type="dxa" w:w="2880"/>
          </w:tcPr>
          <w:p>
            <w:pPr>
              <w:jc w:val="center"/>
            </w:pPr>
            <w:r/>
            <w:r>
              <w:rPr>
                <w:rFonts w:ascii="Times New Roman" w:hAnsi="Times New Roman"/>
                <w:sz w:val="18"/>
              </w:rPr>
              <w:t>47.0%</w:t>
            </w:r>
          </w:p>
        </w:tc>
      </w:tr>
      <w:tr>
        <w:tc>
          <w:tcPr>
            <w:tcW w:type="dxa" w:w="5040"/>
          </w:tcPr>
          <w:p>
            <w:pPr>
              <w:jc w:val="left"/>
            </w:pPr>
            <w:r/>
            <w:r>
              <w:rPr>
                <w:rFonts w:ascii="Times New Roman" w:hAnsi="Times New Roman"/>
                <w:sz w:val="18"/>
              </w:rPr>
              <w:t>Measured delay cost, ΔE[U]</w:t>
            </w:r>
          </w:p>
        </w:tc>
        <w:tc>
          <w:tcPr>
            <w:tcW w:type="dxa" w:w="2880"/>
          </w:tcPr>
          <w:p>
            <w:pPr>
              <w:jc w:val="center"/>
            </w:pPr>
            <w:r/>
            <w:r>
              <w:rPr>
                <w:rFonts w:ascii="Times New Roman" w:hAnsi="Times New Roman"/>
                <w:sz w:val="18"/>
              </w:rPr>
              <w:t>+0.367 QALY</w:t>
            </w:r>
          </w:p>
        </w:tc>
      </w:tr>
      <w:tr>
        <w:tc>
          <w:tcPr>
            <w:tcW w:type="dxa" w:w="5040"/>
          </w:tcPr>
          <w:p>
            <w:pPr>
              <w:jc w:val="left"/>
            </w:pPr>
            <w:r/>
            <w:r>
              <w:rPr>
                <w:rFonts w:ascii="Times New Roman" w:hAnsi="Times New Roman"/>
                <w:sz w:val="18"/>
              </w:rPr>
              <w:t>Population cancer prevalence (screening)</w:t>
            </w:r>
          </w:p>
        </w:tc>
        <w:tc>
          <w:tcPr>
            <w:tcW w:type="dxa" w:w="2880"/>
          </w:tcPr>
          <w:p>
            <w:pPr>
              <w:jc w:val="center"/>
            </w:pPr>
            <w:r/>
            <w:r>
              <w:rPr>
                <w:rFonts w:ascii="Times New Roman" w:hAnsi="Times New Roman"/>
                <w:sz w:val="18"/>
              </w:rPr>
              <w:t>0.6%</w:t>
            </w:r>
          </w:p>
        </w:tc>
      </w:tr>
    </w:tbl>
    <w:p>
      <w:pPr>
        <w:spacing w:after="80"/>
      </w:pPr>
    </w:p>
    <w:p>
      <w:pPr>
        <w:spacing w:before="200" w:after="80"/>
      </w:pPr>
      <w:r>
        <w:rPr>
          <w:rFonts w:ascii="Times New Roman" w:hAnsi="Times New Roman"/>
          <w:b/>
          <w:i/>
          <w:sz w:val="22"/>
        </w:rPr>
        <w:t>B. Data Preprocessing</w:t>
      </w:r>
    </w:p>
    <w:p>
      <w:pPr>
        <w:spacing w:after="120" w:before="0"/>
        <w:ind w:firstLine="288"/>
        <w:jc w:val="both"/>
      </w:pPr>
      <w:r>
        <w:rPr>
          <w:rFonts w:ascii="Times New Roman" w:hAnsi="Times New Roman"/>
          <w:b w:val="0"/>
          <w:i w:val="0"/>
          <w:sz w:val="22"/>
        </w:rPr>
        <w:t>The 98,788 image-level rows are first collapsed to 24,694 exam-level rows by grouping on patient identifier and exam year: exam-level variables (recall decision, radiologist reads, outcome timing) are identical across a given exam's four images and are taken as-is, while image-level density measurements are averaged across the four views, retaining the left/right distinction. A small quality-control step removes twelve duplicate view rows arising from three exams that were, for unknown reasons, acquired with eight images rather than four. Patients are then split 70/15/15 into training, validation, and test sets at the patient level — never at the exam level, to avoid leaking a woman's own future visits across the split boundary — stratified jointly on cancer status, age band, and number of visits, so that the rare positive class and the range of trajectory lengths are represented proportionally in every split.</w:t>
      </w:r>
    </w:p>
    <w:p>
      <w:pPr>
        <w:spacing w:after="120" w:before="0"/>
        <w:ind w:firstLine="288"/>
        <w:jc w:val="both"/>
      </w:pPr>
      <w:r>
        <w:rPr>
          <w:rFonts w:ascii="Times New Roman" w:hAnsi="Times New Roman"/>
          <w:b w:val="0"/>
          <w:i w:val="0"/>
          <w:sz w:val="22"/>
        </w:rPr>
        <w:t>No DICOM images are available on the machines used for this study; consequently, the state representation described below is built entirely from tabular exam-level variables. A placeholder is retained in the codebase for a cached image-embedding array that would be concatenated into the state should imaging data become available, but no results in this paper depend on it.</w:t>
      </w:r>
    </w:p>
    <w:p>
      <w:pPr>
        <w:spacing w:before="200" w:after="80"/>
      </w:pPr>
      <w:r>
        <w:rPr>
          <w:rFonts w:ascii="Times New Roman" w:hAnsi="Times New Roman"/>
          <w:b/>
          <w:i/>
          <w:sz w:val="22"/>
        </w:rPr>
        <w:t>C. Markov Decision Process Formulation</w:t>
      </w:r>
    </w:p>
    <w:p>
      <w:pPr>
        <w:spacing w:after="120" w:before="0"/>
        <w:ind w:firstLine="288"/>
        <w:jc w:val="both"/>
      </w:pPr>
      <w:r>
        <w:rPr>
          <w:rFonts w:ascii="Times New Roman" w:hAnsi="Times New Roman"/>
          <w:b w:val="0"/>
          <w:i w:val="0"/>
          <w:sz w:val="22"/>
        </w:rPr>
        <w:t>Personalized screening is formulated as a Markov Decision Process (MDP), a tuple (S, A, P, R, γ) in which an agent occupies a state s ∈ S, selects an action a ∈ A, transitions to a new state s′ according to a distribution P(s′|s,a), receives a reward R(s,a,s′), and discounts future reward by a factor γ ∈ [0,1). Each screening visit is treated as one decision epoch of this process.</w:t>
      </w:r>
    </w:p>
    <w:p>
      <w:pPr>
        <w:spacing w:after="120"/>
        <w:ind w:firstLine="288"/>
        <w:jc w:val="both"/>
      </w:pPr>
      <w:r>
        <w:rPr>
          <w:rFonts w:ascii="Times New Roman" w:hAnsi="Times New Roman"/>
          <w:b/>
          <w:i/>
          <w:sz w:val="22"/>
        </w:rPr>
        <w:t xml:space="preserve">1) State Representation: </w:t>
      </w:r>
      <w:r>
        <w:rPr>
          <w:rFonts w:ascii="Times New Roman" w:hAnsi="Times New Roman"/>
          <w:sz w:val="22"/>
        </w:rPr>
        <w:t>The state at visit t is a 29-dimensional vector summarizing everything about a woman's history that is available strictly before the decision made at that visit. Table II enumerates the full feature set, grouped into five categories: two demographic indicators for age band; seven features describing current breast density and its bilateral asymmetry; two features describing the change in density since the previous visit — the closest available proxy for a longitudinal density trajectory; four features describing screening history and timing (visit index, years since the last screen, cumulative number of screens, and calendar year); three features summarizing prior recall history; two features summarizing whether the two radiologists' reads have previously disagreed; three explicit missingness indicators, since roughly eight percent of exams have an unrecorded recall decision and treating a missing value as a negative observation would silently misrepresent it; and a six-dimensional one-hot encoding of the action taken at the previous visit. Every feature that depends on screening history is computed using only visits strictly before the current one, so that no state feature can leak information from the future.</w:t>
      </w:r>
    </w:p>
    <w:p>
      <w:pPr>
        <w:spacing w:after="120" w:before="0"/>
        <w:ind w:firstLine="288"/>
        <w:jc w:val="both"/>
      </w:pPr>
      <w:r>
        <w:rPr>
          <w:rFonts w:ascii="Times New Roman" w:hAnsi="Times New Roman"/>
          <w:b w:val="0"/>
          <w:i w:val="0"/>
          <w:sz w:val="22"/>
        </w:rPr>
        <w:t>Critically, the tumor-stage and diagnosis-timing variables used to construct the reward (§III-C.4) are never included in the state. This is enforced by an explicit runtime assertion in the state-construction code, because a model that could see its own eventual diagnosis label would trivially and fraudulently predict its own outcome rather than learn a genuine screening policy.</w:t>
      </w:r>
    </w:p>
    <w:p>
      <w:pPr>
        <w:spacing w:after="0" w:before="200"/>
        <w:jc w:val="center"/>
      </w:pPr>
      <w:r>
        <w:rPr>
          <w:rFonts w:ascii="Times New Roman" w:hAnsi="Times New Roman"/>
          <w:b w:val="0"/>
          <w:i w:val="0"/>
          <w:sz w:val="20"/>
        </w:rPr>
        <w:t>TABLE II</w:t>
      </w:r>
    </w:p>
    <w:p>
      <w:pPr>
        <w:spacing w:after="80" w:before="0"/>
        <w:jc w:val="center"/>
      </w:pPr>
      <w:r>
        <w:rPr>
          <w:rFonts w:ascii="Times New Roman" w:hAnsi="Times New Roman"/>
          <w:b w:val="0"/>
          <w:i w:val="0"/>
          <w:sz w:val="20"/>
        </w:rPr>
        <w:t>STATE VARIABLES (29-DIMENSIONAL)</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D9D9D9"/>
          </w:tcPr>
          <w:p>
            <w:pPr>
              <w:jc w:val="center"/>
            </w:pPr>
            <w:r/>
            <w:r>
              <w:rPr>
                <w:rFonts w:ascii="Times New Roman" w:hAnsi="Times New Roman"/>
                <w:b/>
                <w:sz w:val="18"/>
              </w:rPr>
              <w:t>Category</w:t>
            </w:r>
          </w:p>
        </w:tc>
        <w:tc>
          <w:tcPr>
            <w:tcW w:type="dxa" w:w="5184"/>
            <w:shd w:val="clear" w:color="auto" w:fill="D9D9D9"/>
          </w:tcPr>
          <w:p>
            <w:pPr>
              <w:jc w:val="center"/>
            </w:pPr>
            <w:r/>
            <w:r>
              <w:rPr>
                <w:rFonts w:ascii="Times New Roman" w:hAnsi="Times New Roman"/>
                <w:b/>
                <w:sz w:val="18"/>
              </w:rPr>
              <w:t>Variables</w:t>
            </w:r>
          </w:p>
        </w:tc>
        <w:tc>
          <w:tcPr>
            <w:tcW w:type="dxa" w:w="720"/>
            <w:shd w:val="clear" w:color="auto" w:fill="D9D9D9"/>
          </w:tcPr>
          <w:p>
            <w:pPr>
              <w:jc w:val="center"/>
            </w:pPr>
            <w:r/>
            <w:r>
              <w:rPr>
                <w:rFonts w:ascii="Times New Roman" w:hAnsi="Times New Roman"/>
                <w:b/>
                <w:sz w:val="18"/>
              </w:rPr>
              <w:t>n</w:t>
            </w:r>
          </w:p>
        </w:tc>
      </w:tr>
      <w:tr>
        <w:tc>
          <w:tcPr>
            <w:tcW w:type="dxa" w:w="2448"/>
          </w:tcPr>
          <w:p>
            <w:pPr>
              <w:jc w:val="left"/>
            </w:pPr>
            <w:r/>
            <w:r>
              <w:rPr>
                <w:rFonts w:ascii="Times New Roman" w:hAnsi="Times New Roman"/>
                <w:sz w:val="18"/>
              </w:rPr>
              <w:t>Demographic</w:t>
            </w:r>
          </w:p>
        </w:tc>
        <w:tc>
          <w:tcPr>
            <w:tcW w:type="dxa" w:w="5184"/>
          </w:tcPr>
          <w:p>
            <w:pPr>
              <w:jc w:val="center"/>
            </w:pPr>
            <w:r/>
            <w:r>
              <w:rPr>
                <w:rFonts w:ascii="Times New Roman" w:hAnsi="Times New Roman"/>
                <w:sz w:val="18"/>
              </w:rPr>
              <w:t>age_40_55, age_55p</w:t>
            </w:r>
          </w:p>
        </w:tc>
        <w:tc>
          <w:tcPr>
            <w:tcW w:type="dxa" w:w="720"/>
          </w:tcPr>
          <w:p>
            <w:pPr>
              <w:jc w:val="center"/>
            </w:pPr>
            <w:r/>
            <w:r>
              <w:rPr>
                <w:rFonts w:ascii="Times New Roman" w:hAnsi="Times New Roman"/>
                <w:sz w:val="18"/>
              </w:rPr>
              <w:t>2</w:t>
            </w:r>
          </w:p>
        </w:tc>
      </w:tr>
      <w:tr>
        <w:tc>
          <w:tcPr>
            <w:tcW w:type="dxa" w:w="2448"/>
          </w:tcPr>
          <w:p>
            <w:pPr>
              <w:jc w:val="left"/>
            </w:pPr>
            <w:r/>
            <w:r>
              <w:rPr>
                <w:rFonts w:ascii="Times New Roman" w:hAnsi="Times New Roman"/>
                <w:sz w:val="18"/>
              </w:rPr>
              <w:t>Breast density (current)</w:t>
            </w:r>
          </w:p>
        </w:tc>
        <w:tc>
          <w:tcPr>
            <w:tcW w:type="dxa" w:w="5184"/>
          </w:tcPr>
          <w:p>
            <w:pPr>
              <w:jc w:val="center"/>
            </w:pPr>
            <w:r/>
            <w:r>
              <w:rPr>
                <w:rFonts w:ascii="Times New Roman" w:hAnsi="Times New Roman"/>
                <w:sz w:val="18"/>
              </w:rPr>
              <w:t>percentdensity_{L,R}, densearea_{L,R}, breastarea_{L,R}, density_asym</w:t>
            </w:r>
          </w:p>
        </w:tc>
        <w:tc>
          <w:tcPr>
            <w:tcW w:type="dxa" w:w="720"/>
          </w:tcPr>
          <w:p>
            <w:pPr>
              <w:jc w:val="center"/>
            </w:pPr>
            <w:r/>
            <w:r>
              <w:rPr>
                <w:rFonts w:ascii="Times New Roman" w:hAnsi="Times New Roman"/>
                <w:sz w:val="18"/>
              </w:rPr>
              <w:t>7</w:t>
            </w:r>
          </w:p>
        </w:tc>
      </w:tr>
      <w:tr>
        <w:tc>
          <w:tcPr>
            <w:tcW w:type="dxa" w:w="2448"/>
          </w:tcPr>
          <w:p>
            <w:pPr>
              <w:jc w:val="left"/>
            </w:pPr>
            <w:r/>
            <w:r>
              <w:rPr>
                <w:rFonts w:ascii="Times New Roman" w:hAnsi="Times New Roman"/>
                <w:sz w:val="18"/>
              </w:rPr>
              <w:t>Breast density (change)</w:t>
            </w:r>
          </w:p>
        </w:tc>
        <w:tc>
          <w:tcPr>
            <w:tcW w:type="dxa" w:w="5184"/>
          </w:tcPr>
          <w:p>
            <w:pPr>
              <w:jc w:val="center"/>
            </w:pPr>
            <w:r/>
            <w:r>
              <w:rPr>
                <w:rFonts w:ascii="Times New Roman" w:hAnsi="Times New Roman"/>
                <w:sz w:val="18"/>
              </w:rPr>
              <w:t>d_density_left, d_density_right</w:t>
            </w:r>
          </w:p>
        </w:tc>
        <w:tc>
          <w:tcPr>
            <w:tcW w:type="dxa" w:w="720"/>
          </w:tcPr>
          <w:p>
            <w:pPr>
              <w:jc w:val="center"/>
            </w:pPr>
            <w:r/>
            <w:r>
              <w:rPr>
                <w:rFonts w:ascii="Times New Roman" w:hAnsi="Times New Roman"/>
                <w:sz w:val="18"/>
              </w:rPr>
              <w:t>2</w:t>
            </w:r>
          </w:p>
        </w:tc>
      </w:tr>
      <w:tr>
        <w:tc>
          <w:tcPr>
            <w:tcW w:type="dxa" w:w="2448"/>
          </w:tcPr>
          <w:p>
            <w:pPr>
              <w:jc w:val="left"/>
            </w:pPr>
            <w:r/>
            <w:r>
              <w:rPr>
                <w:rFonts w:ascii="Times New Roman" w:hAnsi="Times New Roman"/>
                <w:sz w:val="18"/>
              </w:rPr>
              <w:t>Screening history / timing</w:t>
            </w:r>
          </w:p>
        </w:tc>
        <w:tc>
          <w:tcPr>
            <w:tcW w:type="dxa" w:w="5184"/>
          </w:tcPr>
          <w:p>
            <w:pPr>
              <w:jc w:val="center"/>
            </w:pPr>
            <w:r/>
            <w:r>
              <w:rPr>
                <w:rFonts w:ascii="Times New Roman" w:hAnsi="Times New Roman"/>
                <w:sz w:val="18"/>
              </w:rPr>
              <w:t>visit_idx, time_since_last, cum_screens, calendar_year</w:t>
            </w:r>
          </w:p>
        </w:tc>
        <w:tc>
          <w:tcPr>
            <w:tcW w:type="dxa" w:w="720"/>
          </w:tcPr>
          <w:p>
            <w:pPr>
              <w:jc w:val="center"/>
            </w:pPr>
            <w:r/>
            <w:r>
              <w:rPr>
                <w:rFonts w:ascii="Times New Roman" w:hAnsi="Times New Roman"/>
                <w:sz w:val="18"/>
              </w:rPr>
              <w:t>4</w:t>
            </w:r>
          </w:p>
        </w:tc>
      </w:tr>
      <w:tr>
        <w:tc>
          <w:tcPr>
            <w:tcW w:type="dxa" w:w="2448"/>
          </w:tcPr>
          <w:p>
            <w:pPr>
              <w:jc w:val="left"/>
            </w:pPr>
            <w:r/>
            <w:r>
              <w:rPr>
                <w:rFonts w:ascii="Times New Roman" w:hAnsi="Times New Roman"/>
                <w:sz w:val="18"/>
              </w:rPr>
              <w:t>Recall history</w:t>
            </w:r>
          </w:p>
        </w:tc>
        <w:tc>
          <w:tcPr>
            <w:tcW w:type="dxa" w:w="5184"/>
          </w:tcPr>
          <w:p>
            <w:pPr>
              <w:jc w:val="center"/>
            </w:pPr>
            <w:r/>
            <w:r>
              <w:rPr>
                <w:rFonts w:ascii="Times New Roman" w:hAnsi="Times New Roman"/>
                <w:sz w:val="18"/>
              </w:rPr>
              <w:t>prior_recall_count, prior_recall_last, prior_recall_ever</w:t>
            </w:r>
          </w:p>
        </w:tc>
        <w:tc>
          <w:tcPr>
            <w:tcW w:type="dxa" w:w="720"/>
          </w:tcPr>
          <w:p>
            <w:pPr>
              <w:jc w:val="center"/>
            </w:pPr>
            <w:r/>
            <w:r>
              <w:rPr>
                <w:rFonts w:ascii="Times New Roman" w:hAnsi="Times New Roman"/>
                <w:sz w:val="18"/>
              </w:rPr>
              <w:t>3</w:t>
            </w:r>
          </w:p>
        </w:tc>
      </w:tr>
      <w:tr>
        <w:tc>
          <w:tcPr>
            <w:tcW w:type="dxa" w:w="2448"/>
          </w:tcPr>
          <w:p>
            <w:pPr>
              <w:jc w:val="left"/>
            </w:pPr>
            <w:r/>
            <w:r>
              <w:rPr>
                <w:rFonts w:ascii="Times New Roman" w:hAnsi="Times New Roman"/>
                <w:sz w:val="18"/>
              </w:rPr>
              <w:t>Reader agreement</w:t>
            </w:r>
          </w:p>
        </w:tc>
        <w:tc>
          <w:tcPr>
            <w:tcW w:type="dxa" w:w="5184"/>
          </w:tcPr>
          <w:p>
            <w:pPr>
              <w:jc w:val="center"/>
            </w:pPr>
            <w:r/>
            <w:r>
              <w:rPr>
                <w:rFonts w:ascii="Times New Roman" w:hAnsi="Times New Roman"/>
                <w:sz w:val="18"/>
              </w:rPr>
              <w:t>prior_disagree_last, prior_disagree_count</w:t>
            </w:r>
          </w:p>
        </w:tc>
        <w:tc>
          <w:tcPr>
            <w:tcW w:type="dxa" w:w="720"/>
          </w:tcPr>
          <w:p>
            <w:pPr>
              <w:jc w:val="center"/>
            </w:pPr>
            <w:r/>
            <w:r>
              <w:rPr>
                <w:rFonts w:ascii="Times New Roman" w:hAnsi="Times New Roman"/>
                <w:sz w:val="18"/>
              </w:rPr>
              <w:t>2</w:t>
            </w:r>
          </w:p>
        </w:tc>
      </w:tr>
      <w:tr>
        <w:tc>
          <w:tcPr>
            <w:tcW w:type="dxa" w:w="2448"/>
          </w:tcPr>
          <w:p>
            <w:pPr>
              <w:jc w:val="left"/>
            </w:pPr>
            <w:r/>
            <w:r>
              <w:rPr>
                <w:rFonts w:ascii="Times New Roman" w:hAnsi="Times New Roman"/>
                <w:sz w:val="18"/>
              </w:rPr>
              <w:t>Missingness indicators</w:t>
            </w:r>
          </w:p>
        </w:tc>
        <w:tc>
          <w:tcPr>
            <w:tcW w:type="dxa" w:w="5184"/>
          </w:tcPr>
          <w:p>
            <w:pPr>
              <w:jc w:val="center"/>
            </w:pPr>
            <w:r/>
            <w:r>
              <w:rPr>
                <w:rFonts w:ascii="Times New Roman" w:hAnsi="Times New Roman"/>
                <w:sz w:val="18"/>
              </w:rPr>
              <w:t>recall_missing, r1_missing, r2_missing</w:t>
            </w:r>
          </w:p>
        </w:tc>
        <w:tc>
          <w:tcPr>
            <w:tcW w:type="dxa" w:w="720"/>
          </w:tcPr>
          <w:p>
            <w:pPr>
              <w:jc w:val="center"/>
            </w:pPr>
            <w:r/>
            <w:r>
              <w:rPr>
                <w:rFonts w:ascii="Times New Roman" w:hAnsi="Times New Roman"/>
                <w:sz w:val="18"/>
              </w:rPr>
              <w:t>3</w:t>
            </w:r>
          </w:p>
        </w:tc>
      </w:tr>
      <w:tr>
        <w:tc>
          <w:tcPr>
            <w:tcW w:type="dxa" w:w="2448"/>
          </w:tcPr>
          <w:p>
            <w:pPr>
              <w:jc w:val="left"/>
            </w:pPr>
            <w:r/>
            <w:r>
              <w:rPr>
                <w:rFonts w:ascii="Times New Roman" w:hAnsi="Times New Roman"/>
                <w:sz w:val="18"/>
              </w:rPr>
              <w:t>Previous action (one-hot)</w:t>
            </w:r>
          </w:p>
        </w:tc>
        <w:tc>
          <w:tcPr>
            <w:tcW w:type="dxa" w:w="5184"/>
          </w:tcPr>
          <w:p>
            <w:pPr>
              <w:jc w:val="center"/>
            </w:pPr>
            <w:r/>
            <w:r>
              <w:rPr>
                <w:rFonts w:ascii="Times New Roman" w:hAnsi="Times New Roman"/>
                <w:sz w:val="18"/>
              </w:rPr>
              <w:t>prev_action_0 … prev_action_5</w:t>
            </w:r>
          </w:p>
        </w:tc>
        <w:tc>
          <w:tcPr>
            <w:tcW w:type="dxa" w:w="720"/>
          </w:tcPr>
          <w:p>
            <w:pPr>
              <w:jc w:val="center"/>
            </w:pPr>
            <w:r/>
            <w:r>
              <w:rPr>
                <w:rFonts w:ascii="Times New Roman" w:hAnsi="Times New Roman"/>
                <w:sz w:val="18"/>
              </w:rPr>
              <w:t>6</w:t>
            </w:r>
          </w:p>
        </w:tc>
      </w:tr>
      <w:tr>
        <w:tc>
          <w:tcPr>
            <w:tcW w:type="dxa" w:w="2448"/>
          </w:tcPr>
          <w:p>
            <w:pPr>
              <w:jc w:val="left"/>
            </w:pPr>
            <w:r/>
            <w:r>
              <w:rPr>
                <w:rFonts w:ascii="Times New Roman" w:hAnsi="Times New Roman"/>
                <w:sz w:val="18"/>
              </w:rPr>
              <w:t>Total</w:t>
            </w:r>
          </w:p>
        </w:tc>
        <w:tc>
          <w:tcPr>
            <w:tcW w:type="dxa" w:w="5184"/>
          </w:tcPr>
          <w:p>
            <w:pPr>
              <w:jc w:val="center"/>
            </w:pPr>
            <w:r/>
            <w:r>
              <w:rPr>
                <w:rFonts w:ascii="Times New Roman" w:hAnsi="Times New Roman"/>
                <w:sz w:val="18"/>
              </w:rPr>
            </w:r>
          </w:p>
        </w:tc>
        <w:tc>
          <w:tcPr>
            <w:tcW w:type="dxa" w:w="720"/>
          </w:tcPr>
          <w:p>
            <w:pPr>
              <w:jc w:val="center"/>
            </w:pPr>
            <w:r/>
            <w:r>
              <w:rPr>
                <w:rFonts w:ascii="Times New Roman" w:hAnsi="Times New Roman"/>
                <w:sz w:val="18"/>
              </w:rPr>
              <w:t>29</w:t>
            </w:r>
          </w:p>
        </w:tc>
      </w:tr>
    </w:tbl>
    <w:p>
      <w:pPr>
        <w:spacing w:after="80"/>
      </w:pP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2 placeholder ]</w:t>
            </w:r>
          </w:p>
        </w:tc>
      </w:tr>
    </w:tbl>
    <w:p>
      <w:pPr>
        <w:spacing w:after="280" w:before="80"/>
        <w:jc w:val="center"/>
      </w:pPr>
      <w:r>
        <w:rPr>
          <w:rFonts w:ascii="Times New Roman" w:hAnsi="Times New Roman"/>
          <w:b w:val="0"/>
          <w:i w:val="0"/>
          <w:sz w:val="20"/>
        </w:rPr>
        <w:t>Fig. 2. The Markov Decision Process framework for personalized screening, showing the state, action, transition, and reward structure at one decision epoch.</w:t>
      </w:r>
    </w:p>
    <w:p>
      <w:pPr>
        <w:spacing w:after="120"/>
        <w:ind w:firstLine="288"/>
        <w:jc w:val="both"/>
      </w:pPr>
      <w:r>
        <w:rPr>
          <w:rFonts w:ascii="Times New Roman" w:hAnsi="Times New Roman"/>
          <w:b/>
          <w:i/>
          <w:sz w:val="22"/>
        </w:rPr>
        <w:t xml:space="preserve">2) Action Space: </w:t>
      </w:r>
      <w:r>
        <w:rPr>
          <w:rFonts w:ascii="Times New Roman" w:hAnsi="Times New Roman"/>
          <w:sz w:val="22"/>
        </w:rPr>
        <w:t>The action space consists of six discrete actions, formed by crossing three screening intervals — 12, 24, and 36 months — with a binary recall decision. An eighteen-month interval, part of the Swedish protocol for women under 55, was considered but excluded: because CSAW-CC records exam dates only to year resolution, an eighteen-month gap cannot be distinguished from a twelve- or twenty-four-month gap in the logged data, and including it as a nominal action with no data to estimate its consequences would misrepresent what the model can actually learn. Six-month and shorter intervals were excluded for the same reason described in §III-A: they simply do not occur in the logged behavior policy, and any value estimate for them from the offline data alone would be pure extrapolation. Both exclusions are properties of the available data, not simplifications of the underlying clinical decision, and the simulator introduced in §III-H directly addresses the six-month case by supplying a mechanism the logged data cannot.</w:t>
      </w:r>
    </w:p>
    <w:p>
      <w:pPr>
        <w:spacing w:after="120"/>
        <w:ind w:firstLine="288"/>
        <w:jc w:val="both"/>
      </w:pPr>
      <w:r>
        <w:rPr>
          <w:rFonts w:ascii="Times New Roman" w:hAnsi="Times New Roman"/>
          <w:b/>
          <w:i/>
          <w:sz w:val="22"/>
        </w:rPr>
        <w:t xml:space="preserve">3) Transition Dynamics: </w:t>
      </w:r>
      <w:r>
        <w:rPr>
          <w:rFonts w:ascii="Times New Roman" w:hAnsi="Times New Roman"/>
          <w:sz w:val="22"/>
        </w:rPr>
        <w:t>The transition from one decision epoch to the next is read directly out of each patient's observed visit sequence: given the state at visit t, the action actually taken (encoding the realized gap to visit t+1 and whether a recall occurred at t) and the resulting state at visit t+1 together constitute one observed transition. Because the dataset is a fixed, retrospective log rather than an interactive simulator, this transition function is empirical rather than modeled: no distributional assumption is placed on P(s′|s,a) beyond what the logged patient trajectories themselves exhibit. Applying this construction to all 8,723 patients yields 15,971 observed transitions. Two additional categories of terminal transition are constructed explicitly rather than discarded, because dropping them would silently remove the very information this study exists to model: for the 217 women whose final observed exam preceded an interval cancer, and for the 219 women whose cancer was screen-detected at their only recorded visit, an imputed terminal transition is added using the modal observed action (24 months, no recall) as the counterfactual action, carrying the diagnosis-associated reward described below. This yields a final transition buffer of 16,407 transitions — 15,971 observed plus 436 imputed terminal transitions — split into 11,489 training, 2,473 validation, and 2,445 test transitions following the patient-level split of §III-B. Administratively censored patients contribute their observed transitions but no terminal reward, since the record simply stopping is not equivalent to an observed healthy outcome.</w:t>
      </w:r>
    </w:p>
    <w:p>
      <w:pPr>
        <w:spacing w:after="120"/>
        <w:ind w:firstLine="288"/>
        <w:jc w:val="both"/>
      </w:pPr>
      <w:r>
        <w:rPr>
          <w:rFonts w:ascii="Times New Roman" w:hAnsi="Times New Roman"/>
          <w:b/>
          <w:i/>
          <w:sz w:val="22"/>
        </w:rPr>
        <w:t xml:space="preserve">4) Reward Function: </w:t>
      </w:r>
      <w:r>
        <w:rPr>
          <w:rFonts w:ascii="Times New Roman" w:hAnsi="Times New Roman"/>
          <w:sz w:val="22"/>
        </w:rPr>
        <w:t>The reward is a negative cost, expressed in quality-adjusted life-year (QALY) equivalents, so that maximizing expected return corresponds to minimizing expected harm:</w:t>
      </w:r>
    </w:p>
    <w:p>
      <w:pPr>
        <w:tabs>
          <w:tab w:pos="9360" w:val="left"/>
        </w:tabs>
        <w:spacing w:before="160" w:after="160"/>
        <w:jc w:val="center"/>
      </w:pPr>
      <w:r>
        <w:rPr>
          <w:rFonts w:ascii="Cambria Math" w:hAnsi="Cambria Math"/>
          <w:i/>
          <w:sz w:val="22"/>
        </w:rPr>
        <w:t>rₜ = −[ c_e + c_r·1(false positive) + U(σ)·1(diagnosis) ]</w:t>
      </w:r>
      <w:r>
        <w:rPr>
          <w:rFonts w:ascii="Times New Roman" w:hAnsi="Times New Roman"/>
          <w:sz w:val="22"/>
        </w:rPr>
        <w:tab/>
        <w:t>(1)</w:t>
      </w:r>
    </w:p>
    <w:p>
      <w:pPr>
        <w:spacing w:after="120" w:before="0"/>
        <w:ind w:firstLine="288"/>
        <w:jc w:val="both"/>
      </w:pPr>
      <w:r>
        <w:rPr>
          <w:rFonts w:ascii="Times New Roman" w:hAnsi="Times New Roman"/>
          <w:b w:val="0"/>
          <w:i w:val="0"/>
          <w:sz w:val="22"/>
        </w:rPr>
        <w:t>where c_e is the disutility of attending one screening round, c_r is the disutility of a recall that finds nothing (a false positive), and U(σ) is the stage-dependent QALY loss incurred if a cancer is diagnosed at this transition, applied only at the transition corresponding to a patient's actual diagnosis. A recall is scored as a false positive whenever the recall decision was 1 but the exam's outcome-timing variable does not indicate screen-detected cancer at that visit. Table III reports the specific cost values used: an exam cost of 0.001 QALY (approximately 0.36 days of perfect health, following the convention that discomfort and inconvenience, not radiation risk, dominate this term for digital mammography), a false-positive recall cost of 0.05 QALY, and five stage-dependent diagnosis costs ranging from 0.5 QALY for ductal carcinoma in situ to 5.5 QALY for invasive, node-positive disease larger than 15 mm. These stage-loss magnitudes follow standard ordinal reasoning about disease severity and are treated in this paper as provisional pending a formal health-utility citation; what is not provisional is the ordering itself, together with the empirical gap between screen-detected and interval outcomes described next.</w:t>
      </w:r>
    </w:p>
    <w:p>
      <w:pPr>
        <w:spacing w:after="0" w:before="200"/>
        <w:jc w:val="center"/>
      </w:pPr>
      <w:r>
        <w:rPr>
          <w:rFonts w:ascii="Times New Roman" w:hAnsi="Times New Roman"/>
          <w:b w:val="0"/>
          <w:i w:val="0"/>
          <w:sz w:val="20"/>
        </w:rPr>
        <w:t>TABLE III</w:t>
      </w:r>
    </w:p>
    <w:p>
      <w:pPr>
        <w:spacing w:after="80" w:before="0"/>
        <w:jc w:val="center"/>
      </w:pPr>
      <w:r>
        <w:rPr>
          <w:rFonts w:ascii="Times New Roman" w:hAnsi="Times New Roman"/>
          <w:b w:val="0"/>
          <w:i w:val="0"/>
          <w:sz w:val="20"/>
        </w:rPr>
        <w:t>REWARD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jc w:val="center"/>
            </w:pPr>
            <w:r/>
            <w:r>
              <w:rPr>
                <w:rFonts w:ascii="Times New Roman" w:hAnsi="Times New Roman"/>
                <w:b/>
                <w:sz w:val="18"/>
              </w:rPr>
              <w:t>Component</w:t>
            </w:r>
          </w:p>
        </w:tc>
        <w:tc>
          <w:tcPr>
            <w:tcW w:type="dxa" w:w="1008"/>
            <w:shd w:val="clear" w:color="auto" w:fill="D9D9D9"/>
          </w:tcPr>
          <w:p>
            <w:pPr>
              <w:jc w:val="center"/>
            </w:pPr>
            <w:r/>
            <w:r>
              <w:rPr>
                <w:rFonts w:ascii="Times New Roman" w:hAnsi="Times New Roman"/>
                <w:b/>
                <w:sz w:val="18"/>
              </w:rPr>
              <w:t>Symbol</w:t>
            </w:r>
          </w:p>
        </w:tc>
        <w:tc>
          <w:tcPr>
            <w:tcW w:type="dxa" w:w="1584"/>
            <w:shd w:val="clear" w:color="auto" w:fill="D9D9D9"/>
          </w:tcPr>
          <w:p>
            <w:pPr>
              <w:jc w:val="center"/>
            </w:pPr>
            <w:r/>
            <w:r>
              <w:rPr>
                <w:rFonts w:ascii="Times New Roman" w:hAnsi="Times New Roman"/>
                <w:b/>
                <w:sz w:val="18"/>
              </w:rPr>
              <w:t>Value</w:t>
            </w:r>
          </w:p>
        </w:tc>
        <w:tc>
          <w:tcPr>
            <w:tcW w:type="dxa" w:w="2880"/>
            <w:shd w:val="clear" w:color="auto" w:fill="D9D9D9"/>
          </w:tcPr>
          <w:p>
            <w:pPr>
              <w:jc w:val="center"/>
            </w:pPr>
            <w:r/>
            <w:r>
              <w:rPr>
                <w:rFonts w:ascii="Times New Roman" w:hAnsi="Times New Roman"/>
                <w:b/>
                <w:sz w:val="18"/>
              </w:rPr>
              <w:t>Description</w:t>
            </w:r>
          </w:p>
        </w:tc>
      </w:tr>
      <w:tr>
        <w:tc>
          <w:tcPr>
            <w:tcW w:type="dxa" w:w="3168"/>
          </w:tcPr>
          <w:p>
            <w:pPr>
              <w:jc w:val="left"/>
            </w:pPr>
            <w:r/>
            <w:r>
              <w:rPr>
                <w:rFonts w:ascii="Times New Roman" w:hAnsi="Times New Roman"/>
                <w:sz w:val="18"/>
              </w:rPr>
              <w:t>Exam disutility</w:t>
            </w:r>
          </w:p>
        </w:tc>
        <w:tc>
          <w:tcPr>
            <w:tcW w:type="dxa" w:w="1008"/>
          </w:tcPr>
          <w:p>
            <w:pPr>
              <w:jc w:val="center"/>
            </w:pPr>
            <w:r/>
            <w:r>
              <w:rPr>
                <w:rFonts w:ascii="Times New Roman" w:hAnsi="Times New Roman"/>
                <w:sz w:val="18"/>
              </w:rPr>
              <w:t>c_e</w:t>
            </w:r>
          </w:p>
        </w:tc>
        <w:tc>
          <w:tcPr>
            <w:tcW w:type="dxa" w:w="1584"/>
          </w:tcPr>
          <w:p>
            <w:pPr>
              <w:jc w:val="center"/>
            </w:pPr>
            <w:r/>
            <w:r>
              <w:rPr>
                <w:rFonts w:ascii="Times New Roman" w:hAnsi="Times New Roman"/>
                <w:sz w:val="18"/>
              </w:rPr>
              <w:t>0.001 QALY</w:t>
            </w:r>
          </w:p>
        </w:tc>
        <w:tc>
          <w:tcPr>
            <w:tcW w:type="dxa" w:w="2880"/>
          </w:tcPr>
          <w:p>
            <w:pPr>
              <w:jc w:val="center"/>
            </w:pPr>
            <w:r/>
            <w:r>
              <w:rPr>
                <w:rFonts w:ascii="Times New Roman" w:hAnsi="Times New Roman"/>
                <w:sz w:val="18"/>
              </w:rPr>
              <w:t>≈ 0.36 days per round</w:t>
            </w:r>
          </w:p>
        </w:tc>
      </w:tr>
      <w:tr>
        <w:tc>
          <w:tcPr>
            <w:tcW w:type="dxa" w:w="3168"/>
          </w:tcPr>
          <w:p>
            <w:pPr>
              <w:jc w:val="left"/>
            </w:pPr>
            <w:r/>
            <w:r>
              <w:rPr>
                <w:rFonts w:ascii="Times New Roman" w:hAnsi="Times New Roman"/>
                <w:sz w:val="18"/>
              </w:rPr>
              <w:t>False-positive recall</w:t>
            </w:r>
          </w:p>
        </w:tc>
        <w:tc>
          <w:tcPr>
            <w:tcW w:type="dxa" w:w="1008"/>
          </w:tcPr>
          <w:p>
            <w:pPr>
              <w:jc w:val="center"/>
            </w:pPr>
            <w:r/>
            <w:r>
              <w:rPr>
                <w:rFonts w:ascii="Times New Roman" w:hAnsi="Times New Roman"/>
                <w:sz w:val="18"/>
              </w:rPr>
              <w:t>c_r</w:t>
            </w:r>
          </w:p>
        </w:tc>
        <w:tc>
          <w:tcPr>
            <w:tcW w:type="dxa" w:w="1584"/>
          </w:tcPr>
          <w:p>
            <w:pPr>
              <w:jc w:val="center"/>
            </w:pPr>
            <w:r/>
            <w:r>
              <w:rPr>
                <w:rFonts w:ascii="Times New Roman" w:hAnsi="Times New Roman"/>
                <w:sz w:val="18"/>
              </w:rPr>
              <w:t>0.05 QALY</w:t>
            </w:r>
          </w:p>
        </w:tc>
        <w:tc>
          <w:tcPr>
            <w:tcW w:type="dxa" w:w="2880"/>
          </w:tcPr>
          <w:p>
            <w:pPr>
              <w:jc w:val="center"/>
            </w:pPr>
            <w:r/>
            <w:r>
              <w:rPr>
                <w:rFonts w:ascii="Times New Roman" w:hAnsi="Times New Roman"/>
                <w:sz w:val="18"/>
              </w:rPr>
              <w:t>Recall finds nothing</w:t>
            </w:r>
          </w:p>
        </w:tc>
      </w:tr>
      <w:tr>
        <w:tc>
          <w:tcPr>
            <w:tcW w:type="dxa" w:w="3168"/>
          </w:tcPr>
          <w:p>
            <w:pPr>
              <w:jc w:val="left"/>
            </w:pPr>
            <w:r/>
            <w:r>
              <w:rPr>
                <w:rFonts w:ascii="Times New Roman" w:hAnsi="Times New Roman"/>
                <w:sz w:val="18"/>
              </w:rPr>
              <w:t>Diagnosis: in situ</w:t>
            </w:r>
          </w:p>
        </w:tc>
        <w:tc>
          <w:tcPr>
            <w:tcW w:type="dxa" w:w="1008"/>
          </w:tcPr>
          <w:p>
            <w:pPr>
              <w:jc w:val="center"/>
            </w:pPr>
            <w:r/>
            <w:r>
              <w:rPr>
                <w:rFonts w:ascii="Times New Roman" w:hAnsi="Times New Roman"/>
                <w:sz w:val="18"/>
              </w:rPr>
              <w:t>U(σ)</w:t>
            </w:r>
          </w:p>
        </w:tc>
        <w:tc>
          <w:tcPr>
            <w:tcW w:type="dxa" w:w="1584"/>
          </w:tcPr>
          <w:p>
            <w:pPr>
              <w:jc w:val="center"/>
            </w:pPr>
            <w:r/>
            <w:r>
              <w:rPr>
                <w:rFonts w:ascii="Times New Roman" w:hAnsi="Times New Roman"/>
                <w:sz w:val="18"/>
              </w:rPr>
              <w:t>0.5 QALY</w:t>
            </w:r>
          </w:p>
        </w:tc>
        <w:tc>
          <w:tcPr>
            <w:tcW w:type="dxa" w:w="2880"/>
          </w:tcPr>
          <w:p>
            <w:pPr>
              <w:jc w:val="center"/>
            </w:pPr>
            <w:r/>
            <w:r>
              <w:rPr>
                <w:rFonts w:ascii="Times New Roman" w:hAnsi="Times New Roman"/>
                <w:sz w:val="18"/>
              </w:rPr>
              <w:t>Non-invasive</w:t>
            </w:r>
          </w:p>
        </w:tc>
      </w:tr>
      <w:tr>
        <w:tc>
          <w:tcPr>
            <w:tcW w:type="dxa" w:w="3168"/>
          </w:tcPr>
          <w:p>
            <w:pPr>
              <w:jc w:val="left"/>
            </w:pPr>
            <w:r/>
            <w:r>
              <w:rPr>
                <w:rFonts w:ascii="Times New Roman" w:hAnsi="Times New Roman"/>
                <w:sz w:val="18"/>
              </w:rPr>
              <w:t>Diagnosis: invasive ≤15mm, node−</w:t>
            </w:r>
          </w:p>
        </w:tc>
        <w:tc>
          <w:tcPr>
            <w:tcW w:type="dxa" w:w="1008"/>
          </w:tcPr>
          <w:p>
            <w:pPr>
              <w:jc w:val="center"/>
            </w:pPr>
            <w:r/>
            <w:r>
              <w:rPr>
                <w:rFonts w:ascii="Times New Roman" w:hAnsi="Times New Roman"/>
                <w:sz w:val="18"/>
              </w:rPr>
              <w:t>U(σ)</w:t>
            </w:r>
          </w:p>
        </w:tc>
        <w:tc>
          <w:tcPr>
            <w:tcW w:type="dxa" w:w="1584"/>
          </w:tcPr>
          <w:p>
            <w:pPr>
              <w:jc w:val="center"/>
            </w:pPr>
            <w:r/>
            <w:r>
              <w:rPr>
                <w:rFonts w:ascii="Times New Roman" w:hAnsi="Times New Roman"/>
                <w:sz w:val="18"/>
              </w:rPr>
              <w:t>1.0 QALY</w:t>
            </w:r>
          </w:p>
        </w:tc>
        <w:tc>
          <w:tcPr>
            <w:tcW w:type="dxa" w:w="2880"/>
          </w:tcPr>
          <w:p>
            <w:pPr>
              <w:jc w:val="center"/>
            </w:pPr>
            <w:r/>
            <w:r>
              <w:rPr>
                <w:rFonts w:ascii="Times New Roman" w:hAnsi="Times New Roman"/>
                <w:sz w:val="18"/>
              </w:rPr>
              <w:t>Early, node-negative</w:t>
            </w:r>
          </w:p>
        </w:tc>
      </w:tr>
      <w:tr>
        <w:tc>
          <w:tcPr>
            <w:tcW w:type="dxa" w:w="3168"/>
          </w:tcPr>
          <w:p>
            <w:pPr>
              <w:jc w:val="left"/>
            </w:pPr>
            <w:r/>
            <w:r>
              <w:rPr>
                <w:rFonts w:ascii="Times New Roman" w:hAnsi="Times New Roman"/>
                <w:sz w:val="18"/>
              </w:rPr>
              <w:t>Diagnosis: invasive ≤15mm, node+</w:t>
            </w:r>
          </w:p>
        </w:tc>
        <w:tc>
          <w:tcPr>
            <w:tcW w:type="dxa" w:w="1008"/>
          </w:tcPr>
          <w:p>
            <w:pPr>
              <w:jc w:val="center"/>
            </w:pPr>
            <w:r/>
            <w:r>
              <w:rPr>
                <w:rFonts w:ascii="Times New Roman" w:hAnsi="Times New Roman"/>
                <w:sz w:val="18"/>
              </w:rPr>
              <w:t>U(σ)</w:t>
            </w:r>
          </w:p>
        </w:tc>
        <w:tc>
          <w:tcPr>
            <w:tcW w:type="dxa" w:w="1584"/>
          </w:tcPr>
          <w:p>
            <w:pPr>
              <w:jc w:val="center"/>
            </w:pPr>
            <w:r/>
            <w:r>
              <w:rPr>
                <w:rFonts w:ascii="Times New Roman" w:hAnsi="Times New Roman"/>
                <w:sz w:val="18"/>
              </w:rPr>
              <w:t>2.5 QALY</w:t>
            </w:r>
          </w:p>
        </w:tc>
        <w:tc>
          <w:tcPr>
            <w:tcW w:type="dxa" w:w="2880"/>
          </w:tcPr>
          <w:p>
            <w:pPr>
              <w:jc w:val="center"/>
            </w:pPr>
            <w:r/>
            <w:r>
              <w:rPr>
                <w:rFonts w:ascii="Times New Roman" w:hAnsi="Times New Roman"/>
                <w:sz w:val="18"/>
              </w:rPr>
              <w:t>Early, node-positive</w:t>
            </w:r>
          </w:p>
        </w:tc>
      </w:tr>
      <w:tr>
        <w:tc>
          <w:tcPr>
            <w:tcW w:type="dxa" w:w="3168"/>
          </w:tcPr>
          <w:p>
            <w:pPr>
              <w:jc w:val="left"/>
            </w:pPr>
            <w:r/>
            <w:r>
              <w:rPr>
                <w:rFonts w:ascii="Times New Roman" w:hAnsi="Times New Roman"/>
                <w:sz w:val="18"/>
              </w:rPr>
              <w:t>Diagnosis: invasive &gt;15mm, node−</w:t>
            </w:r>
          </w:p>
        </w:tc>
        <w:tc>
          <w:tcPr>
            <w:tcW w:type="dxa" w:w="1008"/>
          </w:tcPr>
          <w:p>
            <w:pPr>
              <w:jc w:val="center"/>
            </w:pPr>
            <w:r/>
            <w:r>
              <w:rPr>
                <w:rFonts w:ascii="Times New Roman" w:hAnsi="Times New Roman"/>
                <w:sz w:val="18"/>
              </w:rPr>
              <w:t>U(σ)</w:t>
            </w:r>
          </w:p>
        </w:tc>
        <w:tc>
          <w:tcPr>
            <w:tcW w:type="dxa" w:w="1584"/>
          </w:tcPr>
          <w:p>
            <w:pPr>
              <w:jc w:val="center"/>
            </w:pPr>
            <w:r/>
            <w:r>
              <w:rPr>
                <w:rFonts w:ascii="Times New Roman" w:hAnsi="Times New Roman"/>
                <w:sz w:val="18"/>
              </w:rPr>
              <w:t>3.0 QALY</w:t>
            </w:r>
          </w:p>
        </w:tc>
        <w:tc>
          <w:tcPr>
            <w:tcW w:type="dxa" w:w="2880"/>
          </w:tcPr>
          <w:p>
            <w:pPr>
              <w:jc w:val="center"/>
            </w:pPr>
            <w:r/>
            <w:r>
              <w:rPr>
                <w:rFonts w:ascii="Times New Roman" w:hAnsi="Times New Roman"/>
                <w:sz w:val="18"/>
              </w:rPr>
              <w:t>Advanced, node-negative</w:t>
            </w:r>
          </w:p>
        </w:tc>
      </w:tr>
      <w:tr>
        <w:tc>
          <w:tcPr>
            <w:tcW w:type="dxa" w:w="3168"/>
          </w:tcPr>
          <w:p>
            <w:pPr>
              <w:jc w:val="left"/>
            </w:pPr>
            <w:r/>
            <w:r>
              <w:rPr>
                <w:rFonts w:ascii="Times New Roman" w:hAnsi="Times New Roman"/>
                <w:sz w:val="18"/>
              </w:rPr>
              <w:t>Diagnosis: invasive &gt;15mm, node+</w:t>
            </w:r>
          </w:p>
        </w:tc>
        <w:tc>
          <w:tcPr>
            <w:tcW w:type="dxa" w:w="1008"/>
          </w:tcPr>
          <w:p>
            <w:pPr>
              <w:jc w:val="center"/>
            </w:pPr>
            <w:r/>
            <w:r>
              <w:rPr>
                <w:rFonts w:ascii="Times New Roman" w:hAnsi="Times New Roman"/>
                <w:sz w:val="18"/>
              </w:rPr>
              <w:t>U(σ)</w:t>
            </w:r>
          </w:p>
        </w:tc>
        <w:tc>
          <w:tcPr>
            <w:tcW w:type="dxa" w:w="1584"/>
          </w:tcPr>
          <w:p>
            <w:pPr>
              <w:jc w:val="center"/>
            </w:pPr>
            <w:r/>
            <w:r>
              <w:rPr>
                <w:rFonts w:ascii="Times New Roman" w:hAnsi="Times New Roman"/>
                <w:sz w:val="18"/>
              </w:rPr>
              <w:t>5.5 QALY</w:t>
            </w:r>
          </w:p>
        </w:tc>
        <w:tc>
          <w:tcPr>
            <w:tcW w:type="dxa" w:w="2880"/>
          </w:tcPr>
          <w:p>
            <w:pPr>
              <w:jc w:val="center"/>
            </w:pPr>
            <w:r/>
            <w:r>
              <w:rPr>
                <w:rFonts w:ascii="Times New Roman" w:hAnsi="Times New Roman"/>
                <w:sz w:val="18"/>
              </w:rPr>
              <w:t>Advanced, node-positive</w:t>
            </w:r>
          </w:p>
        </w:tc>
      </w:tr>
    </w:tbl>
    <w:p>
      <w:pPr>
        <w:spacing w:after="80"/>
      </w:pPr>
    </w:p>
    <w:p>
      <w:pPr>
        <w:spacing w:after="120" w:before="0"/>
        <w:ind w:firstLine="288"/>
        <w:jc w:val="both"/>
      </w:pPr>
      <w:r>
        <w:rPr>
          <w:rFonts w:ascii="Times New Roman" w:hAnsi="Times New Roman"/>
          <w:b w:val="0"/>
          <w:i w:val="0"/>
          <w:sz w:val="22"/>
        </w:rPr>
        <w:t>The central empirical justification for this reward design is that the cost of delayed detection is measured directly from CSAW-CC rather than assumed from external literature. Comparing the 524 screen-detected patients against the 217 interval-cancer patients using each patient's final recorded exam, node-positive disease occurs in 22.9% of screen-detected cases versus 34.1% of interval cases, and invasive tumors larger than 15 mm occur in 40.8% versus 47.0% respectively. Applying the stage-cost table above to each group's empirical distribution yields an expected utility loss of 2.248 QALY for screen-detected disease and 2.615 QALY for interval disease — a measured delay cost of ΔE[U] = +0.367 QALY per cancer that surfaces between screens rather than at one. This number, not an assumption imported from the literature, is what gives the reward function its clinical grounding. It is corroborated by the exams immediately preceding an interval-cancer diagnosis: of 267 such exams, only 19 (7.1%) resulted in a recall, confirming that these misses were, at the time, indistinguishable from normal screens under the standard protocol.</w:t>
      </w:r>
    </w:p>
    <w:p>
      <w:pPr>
        <w:spacing w:after="120" w:before="0"/>
        <w:ind w:firstLine="288"/>
        <w:jc w:val="both"/>
      </w:pPr>
      <w:r>
        <w:rPr>
          <w:rFonts w:ascii="Times New Roman" w:hAnsi="Times New Roman"/>
          <w:b w:val="0"/>
          <w:i w:val="0"/>
          <w:sz w:val="22"/>
        </w:rPr>
        <w:t>Because 10.0% of women in this dataset developed cancer against an approximately 0.6% population screening prevalence, every reward-derived statistic reported in this paper is corrected using inverse case-control reweighting: a case-patient transition is weighted by the ratio of population to sample cancer prevalence, and a control-patient transition by the corresponding ratio for the complementary event. Without this correction, a learned policy or an evaluation metric would implicitly assume that one woman in ten has cancer, and would systematically over-recommend more frequent screening than is population-appropriate.</w:t>
      </w:r>
    </w:p>
    <w:p>
      <w:pPr>
        <w:spacing w:after="120"/>
        <w:ind w:firstLine="288"/>
        <w:jc w:val="both"/>
      </w:pPr>
      <w:r>
        <w:rPr>
          <w:rFonts w:ascii="Times New Roman" w:hAnsi="Times New Roman"/>
          <w:b/>
          <w:i/>
          <w:sz w:val="22"/>
        </w:rPr>
        <w:t xml:space="preserve">5) Discount Factor: </w:t>
      </w:r>
      <w:r>
        <w:rPr>
          <w:rFonts w:ascii="Times New Roman" w:hAnsi="Times New Roman"/>
          <w:sz w:val="22"/>
        </w:rPr>
        <w:t>Consistent with standard health-economic practice, future QALYs are discounted at an annual rate of 3%, giving a per-round discount factor of γ = 1/1.03 ≈ 0.9709. This paper adopts a plain Markov (round-based) discounting convention, applying one factor of γ per decision epoch regardless of the number of calendar years the chosen interval spans, rather than a semi-Markov convention that would raise γ to the power of the elapsed time. The distinction is not cosmetic: under semi-Markov discounting, a 36-month wait discounts the harm that eventually accrues from that wait three times as aggressively as a 12-month wait would, which mechanically rewards longer intervals independent of any real clinical benefit. Under the plain Markov convention adopted here, a 36-month wait is discounted exactly as a 12-month wait would be, removing this artefact and ensuring that any preference the learned policy expresses for shorter or longer intervals reflects the reward function's cost structure rather than an accounting side effect of the discounting scheme itself.</w:t>
      </w:r>
    </w:p>
    <w:p>
      <w:pPr>
        <w:spacing w:before="200" w:after="80"/>
      </w:pPr>
      <w:r>
        <w:rPr>
          <w:rFonts w:ascii="Times New Roman" w:hAnsi="Times New Roman"/>
          <w:b/>
          <w:i/>
          <w:sz w:val="22"/>
        </w:rPr>
        <w:t>D. Offline Reinforcement Learning</w:t>
      </w:r>
    </w:p>
    <w:p>
      <w:pPr>
        <w:spacing w:after="120" w:before="0"/>
        <w:ind w:firstLine="288"/>
        <w:jc w:val="both"/>
      </w:pPr>
      <w:r>
        <w:rPr>
          <w:rFonts w:ascii="Times New Roman" w:hAnsi="Times New Roman"/>
          <w:b w:val="0"/>
          <w:i w:val="0"/>
          <w:sz w:val="22"/>
        </w:rPr>
        <w:t>In the standard (online) reinforcement learning setting, an agent alternates between acting in its environment and updating its policy from the consequences of those actions, allowing it to correct erroneous beliefs about actions it initially estimated incorrectly. Offline reinforcement learning removes this loop entirely: the agent is given a fixed dataset of previously logged transitions, generated by an unknown behavior policy, and must learn a policy from that dataset alone, with no further interaction with the environment during training and no opportunity to test its policy before it is evaluated. This constraint is not a simplification adopted for convenience; it is a structural requirement of the clinical setting, since randomly assigning women to screening intervals outside established clinical guidelines to generate exploratory data would be unethical, and no simulator faithful enough to substitute for such an experiment exists independent of the modeling exercise undertaken in §III-H.</w:t>
      </w:r>
    </w:p>
    <w:p>
      <w:pPr>
        <w:spacing w:after="120" w:before="0"/>
        <w:ind w:firstLine="288"/>
        <w:jc w:val="both"/>
      </w:pPr>
      <w:r>
        <w:rPr>
          <w:rFonts w:ascii="Times New Roman" w:hAnsi="Times New Roman"/>
          <w:b w:val="0"/>
          <w:i w:val="0"/>
          <w:sz w:val="22"/>
        </w:rPr>
        <w:t>The central difficulty of offline reinforcement learning is that any algorithm relying on bootstrapped value estimates — computing the value of a state-action pair by referring to the estimated value of successor states — can propagate error through state-action pairs the data does not adequately cover. If the behavior policy never took a given action in a given state, the learned Q-function's estimate for that action is pure extrapolation from the function approximator's inductive bias, and because the training objective is only ever evaluated on logged transitions, nothing in the loss can correct an overconfident extrapolated value. This failure mode, termed extrapolation error, is especially severe in this dataset precisely because the behavior policy is so close to deterministic given age band (§III-A): a substantial fraction of the action space, including any interval shorter than twelve months, has essentially zero logged support, and a standard Q-learning agent trained on this data would be expected to produce large, uncontrolled value estimates for exactly those actions.</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3 placeholder ]</w:t>
            </w:r>
          </w:p>
        </w:tc>
      </w:tr>
    </w:tbl>
    <w:p>
      <w:pPr>
        <w:spacing w:after="280" w:before="80"/>
        <w:jc w:val="center"/>
      </w:pPr>
      <w:r>
        <w:rPr>
          <w:rFonts w:ascii="Times New Roman" w:hAnsi="Times New Roman"/>
          <w:b w:val="0"/>
          <w:i w:val="0"/>
          <w:sz w:val="20"/>
        </w:rPr>
        <w:t>Fig. 3. The offline reinforcement learning pipeline, from raw CSAW-CC exam data through state construction, transition-buffer assembly, and policy training to off-policy evaluation.</w:t>
      </w:r>
    </w:p>
    <w:p>
      <w:pPr>
        <w:spacing w:before="200" w:after="80"/>
      </w:pPr>
      <w:r>
        <w:rPr>
          <w:rFonts w:ascii="Times New Roman" w:hAnsi="Times New Roman"/>
          <w:b/>
          <w:i/>
          <w:sz w:val="22"/>
        </w:rPr>
        <w:t>E. Conservative Q-Learning</w:t>
      </w:r>
    </w:p>
    <w:p>
      <w:pPr>
        <w:spacing w:after="120" w:before="0"/>
        <w:ind w:firstLine="288"/>
        <w:jc w:val="both"/>
      </w:pPr>
      <w:r>
        <w:rPr>
          <w:rFonts w:ascii="Times New Roman" w:hAnsi="Times New Roman"/>
          <w:b w:val="0"/>
          <w:i w:val="0"/>
          <w:sz w:val="22"/>
        </w:rPr>
        <w:t>Conservative Q-Learning (CQL) [7] addresses extrapolation error directly by augmenting the standard temporal-difference objective with a term that penalizes the Q-values of actions not well supported by the logged behavior policy in a given state, while simultaneously reinforcing the Q-value of the action that was actually observed. The full CQL objective minimized in this paper is</w:t>
      </w:r>
    </w:p>
    <w:p>
      <w:pPr>
        <w:tabs>
          <w:tab w:pos="9360" w:val="left"/>
        </w:tabs>
        <w:spacing w:before="160" w:after="160"/>
        <w:jc w:val="center"/>
      </w:pPr>
      <w:r>
        <w:rPr>
          <w:rFonts w:ascii="Cambria Math" w:hAnsi="Cambria Math"/>
          <w:i/>
          <w:sz w:val="22"/>
        </w:rPr>
        <w:t>L_CQL(θ) = α·𝔼ₛ[logΣₐ exp Qθ(s,a) − Qθ(s,a_obs)] + ½·𝔼[(Qθ(s,a) − y)²]</w:t>
      </w:r>
      <w:r>
        <w:rPr>
          <w:rFonts w:ascii="Times New Roman" w:hAnsi="Times New Roman"/>
          <w:sz w:val="22"/>
        </w:rPr>
        <w:tab/>
        <w:t>(2)</w:t>
      </w:r>
    </w:p>
    <w:p>
      <w:pPr>
        <w:spacing w:after="120" w:before="0"/>
        <w:ind w:firstLine="288"/>
        <w:jc w:val="both"/>
      </w:pPr>
      <w:r>
        <w:rPr>
          <w:rFonts w:ascii="Times New Roman" w:hAnsi="Times New Roman"/>
          <w:b w:val="0"/>
          <w:i w:val="0"/>
          <w:sz w:val="22"/>
        </w:rPr>
        <w:t>where the first term is the conservatism penalty, the log-sum-exp acting as a soft maximum over all actions, and Qθ(s, a_obs) is the value assigned to the action actually logged at that transition; the difference between them is driven toward zero for well-supported actions and remains large, and therefore heavily penalized, for actions the behavior policy would rarely or never choose. The second term is a standard temporal-difference (TD) loss against a bootstrapped target y, computed using a Double Q-learning update [2] to reduce maximization bias:</w:t>
      </w:r>
    </w:p>
    <w:p>
      <w:pPr>
        <w:tabs>
          <w:tab w:pos="9360" w:val="left"/>
        </w:tabs>
        <w:spacing w:before="160" w:after="160"/>
        <w:jc w:val="center"/>
      </w:pPr>
      <w:r>
        <w:rPr>
          <w:rFonts w:ascii="Cambria Math" w:hAnsi="Cambria Math"/>
          <w:i/>
          <w:sz w:val="22"/>
        </w:rPr>
        <w:t>y = r + γ·(1−done)·Q̄θ(s′, argmax_{a′} Qθ(s′,a′))</w:t>
      </w:r>
      <w:r>
        <w:rPr>
          <w:rFonts w:ascii="Times New Roman" w:hAnsi="Times New Roman"/>
          <w:sz w:val="22"/>
        </w:rPr>
        <w:tab/>
        <w:t>(3)</w:t>
      </w:r>
    </w:p>
    <w:p>
      <w:pPr>
        <w:spacing w:after="120" w:before="0"/>
        <w:ind w:firstLine="288"/>
        <w:jc w:val="both"/>
      </w:pPr>
      <w:r>
        <w:rPr>
          <w:rFonts w:ascii="Times New Roman" w:hAnsi="Times New Roman"/>
          <w:b w:val="0"/>
          <w:i w:val="0"/>
          <w:sz w:val="22"/>
        </w:rPr>
        <w:t>where Q̄θ denotes a slowly updated target network (Polyak-averaged toward the online network at each step) and the (1−done) term zeroes out the bootstrapped continuation whenever the transition is a genuine terminal — an observed cancer diagnosis — rather than an artefact of administrative censoring. The coefficient α controls the strength of the conservatism penalty; sweeping α across an order of magnitude and observing the learned policy's deviation from the clinical standard of care shrink monotonically as α increases is the standard credibility check for whether the conservatism term is doing its job, rather than simply overwhelming the TD signal.</w:t>
      </w:r>
    </w:p>
    <w:p>
      <w:pPr>
        <w:spacing w:after="120" w:before="0"/>
        <w:ind w:firstLine="288"/>
        <w:jc w:val="both"/>
      </w:pPr>
      <w:r>
        <w:rPr>
          <w:rFonts w:ascii="Times New Roman" w:hAnsi="Times New Roman"/>
          <w:b w:val="0"/>
          <w:i w:val="0"/>
          <w:sz w:val="22"/>
        </w:rPr>
        <w:t>Conservative estimation of this kind is not merely a technical convenience in a healthcare application: because a clinical policy cannot be validated by trial deployment before it is reported, any positive bias in its estimated value directly risks recommending a change in care on the basis of an artefact of the function approximator rather than a genuine improvement. CQL's conservatism term is constructed to yield a probabilistic lower bound on the true value of the learned policy, meaning that reported improvements over the clinical standard of care are, by construction, conservative rather than optimistic — the opposite of the failure mode this paper is specifically designed to avoid.</w:t>
      </w:r>
    </w:p>
    <w:p>
      <w:pPr>
        <w:spacing w:after="120" w:before="0"/>
        <w:ind w:firstLine="288"/>
        <w:jc w:val="both"/>
      </w:pPr>
      <w:r>
        <w:rPr>
          <w:rFonts w:ascii="Times New Roman" w:hAnsi="Times New Roman"/>
          <w:b w:val="0"/>
          <w:i w:val="0"/>
          <w:sz w:val="22"/>
        </w:rPr>
        <w:t>Behavior Cloning, standard (Double/Dueling) Deep Q-Networks, and Quantile-Regression DQN were each considered as candidate algorithms during the design of this study, precisely because each addresses a related but distinct problem: Behavior Cloning reproduces the logged policy without any capacity to improve on it; Double DQN [2] corrects maximization bias but not extrapolation error; Dueling architectures [3] improve value estimation when action values are close together, which is a genuine feature of this problem but not a solution to the coverage problem on its own; and Quantile-Regression DQN [5] improves the fidelity of the value distribution without addressing distributional shift at all. None of the four directly penalizes the extrapolation that this dataset's near-deterministic behavior policy makes especially severe, which is the reason this paper reports Conservative Q-Learning as its sole learned policy rather than as one entry in a head-to-head comparison: a fair comparison would require training and evaluating each algorithm under an identical protocol, which is left as a direction for future work (§VIII) rather than asserted here without the corresponding experiments.</w:t>
      </w:r>
    </w:p>
    <w:p>
      <w:pPr>
        <w:spacing w:before="200" w:after="80"/>
      </w:pPr>
      <w:r>
        <w:rPr>
          <w:rFonts w:ascii="Times New Roman" w:hAnsi="Times New Roman"/>
          <w:b/>
          <w:i/>
          <w:sz w:val="22"/>
        </w:rPr>
        <w:t>F. Neural Network Architecture</w:t>
      </w:r>
    </w:p>
    <w:p>
      <w:pPr>
        <w:spacing w:after="120" w:before="0"/>
        <w:ind w:firstLine="288"/>
        <w:jc w:val="both"/>
      </w:pPr>
      <w:r>
        <w:rPr>
          <w:rFonts w:ascii="Times New Roman" w:hAnsi="Times New Roman"/>
          <w:b w:val="0"/>
          <w:i w:val="0"/>
          <w:sz w:val="22"/>
        </w:rPr>
        <w:t>The Q-function is represented by a single feed-forward network operating on the 29-dimensional tabular state described in §III-C.1, without any recurrent component. A two-layer multilayer-perceptron torso maps the input state through a linear layer, layer normalization, and a rectified linear unit (ReLU) activation, repeated twice at a hidden width of 256, before branching into a dueling head [3] that separately estimates a state-value stream V(s) and an advantage stream A(s,a) for each of the six actions, recombined as Q(s,a) = V(s) + A(s,a) − mean_{a′} A(s,a′). Each of the value and advantage streams is further expanded into 32 quantile outputs following the quantile-regression (QR) distributional formulation [5], so that the network represents an approximation to the full return distribution rather than only its mean, which both improves the stability of the Bellman target and supports future extensions toward risk-sensitive policy selection. A recurrent (gated recurrent unit) encoder over the visit sequence was considered and deliberately not adopted: the longest trajectory in this dataset spans only six visits, and the state representation already includes explicit summaries of screening history (cumulative visits, prior recall count, previous action), so a recurrent architecture would introduce parameters that the available 16,407 transitions cannot reliably identify.</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4 placeholder ]</w:t>
            </w:r>
          </w:p>
        </w:tc>
      </w:tr>
    </w:tbl>
    <w:p>
      <w:pPr>
        <w:spacing w:after="280" w:before="80"/>
        <w:jc w:val="center"/>
      </w:pPr>
      <w:r>
        <w:rPr>
          <w:rFonts w:ascii="Times New Roman" w:hAnsi="Times New Roman"/>
          <w:b w:val="0"/>
          <w:i w:val="0"/>
          <w:sz w:val="20"/>
        </w:rPr>
        <w:t>Fig. 4. Conservative Q-Learning network architecture: a shared MLP torso feeding a dueling value/advantage decomposition and a 32-quantile distributional output head.</w:t>
      </w:r>
    </w:p>
    <w:p>
      <w:pPr>
        <w:spacing w:before="200" w:after="80"/>
      </w:pPr>
      <w:r>
        <w:rPr>
          <w:rFonts w:ascii="Times New Roman" w:hAnsi="Times New Roman"/>
          <w:b/>
          <w:i/>
          <w:sz w:val="22"/>
        </w:rPr>
        <w:t>G. Training Procedure</w:t>
      </w:r>
    </w:p>
    <w:p>
      <w:pPr>
        <w:spacing w:after="120" w:before="0"/>
        <w:ind w:firstLine="288"/>
        <w:jc w:val="both"/>
      </w:pPr>
      <w:r>
        <w:rPr>
          <w:rFonts w:ascii="Times New Roman" w:hAnsi="Times New Roman"/>
          <w:b w:val="0"/>
          <w:i w:val="0"/>
          <w:sz w:val="22"/>
        </w:rPr>
        <w:t>The agent is trained entirely offline: at each optimization step, a minibatch of 64 transitions is sampled uniformly at random from the training split — uniformly over transitions rather than over whole trajectories, which is a valid sampling scheme here precisely because the state already encodes the trajectory history explicitly rather than relying on a recurrent hidden state that would require intact sequences. The network is optimized with AdamW at a learning rate of 3×10⁻⁴ and a weight decay of 10⁻⁴, with gradients clipped to a global norm of 10, for 20,000 gradient steps, and the target network is updated by Polyak averaging with a coefficient of 5×10⁻³ after every step. Table IV reports the complete hyperparameter set.</w:t>
      </w:r>
    </w:p>
    <w:p>
      <w:pPr>
        <w:spacing w:after="120" w:before="0"/>
        <w:ind w:firstLine="288"/>
        <w:jc w:val="both"/>
      </w:pPr>
      <w:r>
        <w:rPr>
          <w:rFonts w:ascii="Times New Roman" w:hAnsi="Times New Roman"/>
          <w:b w:val="0"/>
          <w:i w:val="0"/>
          <w:sz w:val="22"/>
        </w:rPr>
        <w:t>Because no interaction with a live environment is possible, checkpoint selection cannot use policy rollouts, as it would in online RL; instead, every 500 training steps the current policy is scored using Fitted Q-Evaluation on the held-out validation split (§III-H), and the checkpoint with the highest validation FQE is retained. A second, equally important diagnostic is applied at every evaluation: the entropy of the learned policy's action distribution and the difference in its recommended recall rate and mean interval between cancer and non-cancer trajectories are both logged, and any checkpoint whose action entropy falls below a fixed threshold — indicating that the policy has collapsed onto a single action for every patient — is excluded from consideration regardless of its FQE score. This collapse gate exists because a policy that recommends 36-month intervals with no recall for every patient scores deceptively well on mean reward in a cohort that is approximately 90% cancer-free after reweighting, while being clinically useless; average reward alone cannot distinguish a genuinely personalized policy from a degenerate one, and this diagnostic is what prevents the training procedure from silently selecting the latter.</w:t>
      </w:r>
    </w:p>
    <w:p>
      <w:pPr>
        <w:spacing w:after="0" w:before="200"/>
        <w:jc w:val="center"/>
      </w:pPr>
      <w:r>
        <w:rPr>
          <w:rFonts w:ascii="Times New Roman" w:hAnsi="Times New Roman"/>
          <w:b w:val="0"/>
          <w:i w:val="0"/>
          <w:sz w:val="20"/>
        </w:rPr>
        <w:t>TABLE IV</w:t>
      </w:r>
    </w:p>
    <w:p>
      <w:pPr>
        <w:spacing w:after="80" w:before="0"/>
        <w:jc w:val="center"/>
      </w:pPr>
      <w:r>
        <w:rPr>
          <w:rFonts w:ascii="Times New Roman" w:hAnsi="Times New Roman"/>
          <w:b w:val="0"/>
          <w:i w:val="0"/>
          <w:sz w:val="20"/>
        </w:rPr>
        <w:t>HYPERPARAMETERS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9D9D9"/>
          </w:tcPr>
          <w:p>
            <w:pPr>
              <w:jc w:val="center"/>
            </w:pPr>
            <w:r/>
            <w:r>
              <w:rPr>
                <w:rFonts w:ascii="Times New Roman" w:hAnsi="Times New Roman"/>
                <w:b/>
                <w:sz w:val="18"/>
              </w:rPr>
              <w:t>Hyperparameter</w:t>
            </w:r>
          </w:p>
        </w:tc>
        <w:tc>
          <w:tcPr>
            <w:tcW w:type="dxa" w:w="2880"/>
            <w:shd w:val="clear" w:color="auto" w:fill="D9D9D9"/>
          </w:tcPr>
          <w:p>
            <w:pPr>
              <w:jc w:val="center"/>
            </w:pPr>
            <w:r/>
            <w:r>
              <w:rPr>
                <w:rFonts w:ascii="Times New Roman" w:hAnsi="Times New Roman"/>
                <w:b/>
                <w:sz w:val="18"/>
              </w:rPr>
              <w:t>Value</w:t>
            </w:r>
          </w:p>
        </w:tc>
      </w:tr>
      <w:tr>
        <w:tc>
          <w:tcPr>
            <w:tcW w:type="dxa" w:w="4320"/>
          </w:tcPr>
          <w:p>
            <w:pPr>
              <w:jc w:val="left"/>
            </w:pPr>
            <w:r/>
            <w:r>
              <w:rPr>
                <w:rFonts w:ascii="Times New Roman" w:hAnsi="Times New Roman"/>
                <w:sz w:val="18"/>
              </w:rPr>
              <w:t>Hidden width</w:t>
            </w:r>
          </w:p>
        </w:tc>
        <w:tc>
          <w:tcPr>
            <w:tcW w:type="dxa" w:w="2880"/>
          </w:tcPr>
          <w:p>
            <w:pPr>
              <w:jc w:val="center"/>
            </w:pPr>
            <w:r/>
            <w:r>
              <w:rPr>
                <w:rFonts w:ascii="Times New Roman" w:hAnsi="Times New Roman"/>
                <w:sz w:val="18"/>
              </w:rPr>
              <w:t>256</w:t>
            </w:r>
          </w:p>
        </w:tc>
      </w:tr>
      <w:tr>
        <w:tc>
          <w:tcPr>
            <w:tcW w:type="dxa" w:w="4320"/>
          </w:tcPr>
          <w:p>
            <w:pPr>
              <w:jc w:val="left"/>
            </w:pPr>
            <w:r/>
            <w:r>
              <w:rPr>
                <w:rFonts w:ascii="Times New Roman" w:hAnsi="Times New Roman"/>
                <w:sz w:val="18"/>
              </w:rPr>
              <w:t>Quantiles (QR)</w:t>
            </w:r>
          </w:p>
        </w:tc>
        <w:tc>
          <w:tcPr>
            <w:tcW w:type="dxa" w:w="2880"/>
          </w:tcPr>
          <w:p>
            <w:pPr>
              <w:jc w:val="center"/>
            </w:pPr>
            <w:r/>
            <w:r>
              <w:rPr>
                <w:rFonts w:ascii="Times New Roman" w:hAnsi="Times New Roman"/>
                <w:sz w:val="18"/>
              </w:rPr>
              <w:t>32</w:t>
            </w:r>
          </w:p>
        </w:tc>
      </w:tr>
      <w:tr>
        <w:tc>
          <w:tcPr>
            <w:tcW w:type="dxa" w:w="4320"/>
          </w:tcPr>
          <w:p>
            <w:pPr>
              <w:jc w:val="left"/>
            </w:pPr>
            <w:r/>
            <w:r>
              <w:rPr>
                <w:rFonts w:ascii="Times New Roman" w:hAnsi="Times New Roman"/>
                <w:sz w:val="18"/>
              </w:rPr>
              <w:t>CQL conservatism weight α</w:t>
            </w:r>
          </w:p>
        </w:tc>
        <w:tc>
          <w:tcPr>
            <w:tcW w:type="dxa" w:w="2880"/>
          </w:tcPr>
          <w:p>
            <w:pPr>
              <w:jc w:val="center"/>
            </w:pPr>
            <w:r/>
            <w:r>
              <w:rPr>
                <w:rFonts w:ascii="Times New Roman" w:hAnsi="Times New Roman"/>
                <w:sz w:val="18"/>
              </w:rPr>
              <w:t>5.0</w:t>
            </w:r>
          </w:p>
        </w:tc>
      </w:tr>
      <w:tr>
        <w:tc>
          <w:tcPr>
            <w:tcW w:type="dxa" w:w="4320"/>
          </w:tcPr>
          <w:p>
            <w:pPr>
              <w:jc w:val="left"/>
            </w:pPr>
            <w:r/>
            <w:r>
              <w:rPr>
                <w:rFonts w:ascii="Times New Roman" w:hAnsi="Times New Roman"/>
                <w:sz w:val="18"/>
              </w:rPr>
              <w:t>Learning rate</w:t>
            </w:r>
          </w:p>
        </w:tc>
        <w:tc>
          <w:tcPr>
            <w:tcW w:type="dxa" w:w="2880"/>
          </w:tcPr>
          <w:p>
            <w:pPr>
              <w:jc w:val="center"/>
            </w:pPr>
            <w:r/>
            <w:r>
              <w:rPr>
                <w:rFonts w:ascii="Times New Roman" w:hAnsi="Times New Roman"/>
                <w:sz w:val="18"/>
              </w:rPr>
              <w:t>3×10⁻⁴</w:t>
            </w:r>
          </w:p>
        </w:tc>
      </w:tr>
      <w:tr>
        <w:tc>
          <w:tcPr>
            <w:tcW w:type="dxa" w:w="4320"/>
          </w:tcPr>
          <w:p>
            <w:pPr>
              <w:jc w:val="left"/>
            </w:pPr>
            <w:r/>
            <w:r>
              <w:rPr>
                <w:rFonts w:ascii="Times New Roman" w:hAnsi="Times New Roman"/>
                <w:sz w:val="18"/>
              </w:rPr>
              <w:t>Weight decay</w:t>
            </w:r>
          </w:p>
        </w:tc>
        <w:tc>
          <w:tcPr>
            <w:tcW w:type="dxa" w:w="2880"/>
          </w:tcPr>
          <w:p>
            <w:pPr>
              <w:jc w:val="center"/>
            </w:pPr>
            <w:r/>
            <w:r>
              <w:rPr>
                <w:rFonts w:ascii="Times New Roman" w:hAnsi="Times New Roman"/>
                <w:sz w:val="18"/>
              </w:rPr>
              <w:t>1×10⁻⁴</w:t>
            </w:r>
          </w:p>
        </w:tc>
      </w:tr>
      <w:tr>
        <w:tc>
          <w:tcPr>
            <w:tcW w:type="dxa" w:w="4320"/>
          </w:tcPr>
          <w:p>
            <w:pPr>
              <w:jc w:val="left"/>
            </w:pPr>
            <w:r/>
            <w:r>
              <w:rPr>
                <w:rFonts w:ascii="Times New Roman" w:hAnsi="Times New Roman"/>
                <w:sz w:val="18"/>
              </w:rPr>
              <w:t>Batch size</w:t>
            </w:r>
          </w:p>
        </w:tc>
        <w:tc>
          <w:tcPr>
            <w:tcW w:type="dxa" w:w="2880"/>
          </w:tcPr>
          <w:p>
            <w:pPr>
              <w:jc w:val="center"/>
            </w:pPr>
            <w:r/>
            <w:r>
              <w:rPr>
                <w:rFonts w:ascii="Times New Roman" w:hAnsi="Times New Roman"/>
                <w:sz w:val="18"/>
              </w:rPr>
              <w:t>64 transitions</w:t>
            </w:r>
          </w:p>
        </w:tc>
      </w:tr>
      <w:tr>
        <w:tc>
          <w:tcPr>
            <w:tcW w:type="dxa" w:w="4320"/>
          </w:tcPr>
          <w:p>
            <w:pPr>
              <w:jc w:val="left"/>
            </w:pPr>
            <w:r/>
            <w:r>
              <w:rPr>
                <w:rFonts w:ascii="Times New Roman" w:hAnsi="Times New Roman"/>
                <w:sz w:val="18"/>
              </w:rPr>
              <w:t>Gradient clip norm</w:t>
            </w:r>
          </w:p>
        </w:tc>
        <w:tc>
          <w:tcPr>
            <w:tcW w:type="dxa" w:w="2880"/>
          </w:tcPr>
          <w:p>
            <w:pPr>
              <w:jc w:val="center"/>
            </w:pPr>
            <w:r/>
            <w:r>
              <w:rPr>
                <w:rFonts w:ascii="Times New Roman" w:hAnsi="Times New Roman"/>
                <w:sz w:val="18"/>
              </w:rPr>
              <w:t>10</w:t>
            </w:r>
          </w:p>
        </w:tc>
      </w:tr>
      <w:tr>
        <w:tc>
          <w:tcPr>
            <w:tcW w:type="dxa" w:w="4320"/>
          </w:tcPr>
          <w:p>
            <w:pPr>
              <w:jc w:val="left"/>
            </w:pPr>
            <w:r/>
            <w:r>
              <w:rPr>
                <w:rFonts w:ascii="Times New Roman" w:hAnsi="Times New Roman"/>
                <w:sz w:val="18"/>
              </w:rPr>
              <w:t>Target network Polyak τ</w:t>
            </w:r>
          </w:p>
        </w:tc>
        <w:tc>
          <w:tcPr>
            <w:tcW w:type="dxa" w:w="2880"/>
          </w:tcPr>
          <w:p>
            <w:pPr>
              <w:jc w:val="center"/>
            </w:pPr>
            <w:r/>
            <w:r>
              <w:rPr>
                <w:rFonts w:ascii="Times New Roman" w:hAnsi="Times New Roman"/>
                <w:sz w:val="18"/>
              </w:rPr>
              <w:t>5×10⁻³</w:t>
            </w:r>
          </w:p>
        </w:tc>
      </w:tr>
      <w:tr>
        <w:tc>
          <w:tcPr>
            <w:tcW w:type="dxa" w:w="4320"/>
          </w:tcPr>
          <w:p>
            <w:pPr>
              <w:jc w:val="left"/>
            </w:pPr>
            <w:r/>
            <w:r>
              <w:rPr>
                <w:rFonts w:ascii="Times New Roman" w:hAnsi="Times New Roman"/>
                <w:sz w:val="18"/>
              </w:rPr>
              <w:t>Training steps</w:t>
            </w:r>
          </w:p>
        </w:tc>
        <w:tc>
          <w:tcPr>
            <w:tcW w:type="dxa" w:w="2880"/>
          </w:tcPr>
          <w:p>
            <w:pPr>
              <w:jc w:val="center"/>
            </w:pPr>
            <w:r/>
            <w:r>
              <w:rPr>
                <w:rFonts w:ascii="Times New Roman" w:hAnsi="Times New Roman"/>
                <w:sz w:val="18"/>
              </w:rPr>
              <w:t>20,000</w:t>
            </w:r>
          </w:p>
        </w:tc>
      </w:tr>
      <w:tr>
        <w:tc>
          <w:tcPr>
            <w:tcW w:type="dxa" w:w="4320"/>
          </w:tcPr>
          <w:p>
            <w:pPr>
              <w:jc w:val="left"/>
            </w:pPr>
            <w:r/>
            <w:r>
              <w:rPr>
                <w:rFonts w:ascii="Times New Roman" w:hAnsi="Times New Roman"/>
                <w:sz w:val="18"/>
              </w:rPr>
              <w:t>Evaluation interval</w:t>
            </w:r>
          </w:p>
        </w:tc>
        <w:tc>
          <w:tcPr>
            <w:tcW w:type="dxa" w:w="2880"/>
          </w:tcPr>
          <w:p>
            <w:pPr>
              <w:jc w:val="center"/>
            </w:pPr>
            <w:r/>
            <w:r>
              <w:rPr>
                <w:rFonts w:ascii="Times New Roman" w:hAnsi="Times New Roman"/>
                <w:sz w:val="18"/>
              </w:rPr>
              <w:t>500 steps</w:t>
            </w:r>
          </w:p>
        </w:tc>
      </w:tr>
      <w:tr>
        <w:tc>
          <w:tcPr>
            <w:tcW w:type="dxa" w:w="4320"/>
          </w:tcPr>
          <w:p>
            <w:pPr>
              <w:jc w:val="left"/>
            </w:pPr>
            <w:r/>
            <w:r>
              <w:rPr>
                <w:rFonts w:ascii="Times New Roman" w:hAnsi="Times New Roman"/>
                <w:sz w:val="18"/>
              </w:rPr>
              <w:t>Annual discount rate</w:t>
            </w:r>
          </w:p>
        </w:tc>
        <w:tc>
          <w:tcPr>
            <w:tcW w:type="dxa" w:w="2880"/>
          </w:tcPr>
          <w:p>
            <w:pPr>
              <w:jc w:val="center"/>
            </w:pPr>
            <w:r/>
            <w:r>
              <w:rPr>
                <w:rFonts w:ascii="Times New Roman" w:hAnsi="Times New Roman"/>
                <w:sz w:val="18"/>
              </w:rPr>
              <w:t>3%</w:t>
            </w:r>
          </w:p>
        </w:tc>
      </w:tr>
      <w:tr>
        <w:tc>
          <w:tcPr>
            <w:tcW w:type="dxa" w:w="4320"/>
          </w:tcPr>
          <w:p>
            <w:pPr>
              <w:jc w:val="left"/>
            </w:pPr>
            <w:r/>
            <w:r>
              <w:rPr>
                <w:rFonts w:ascii="Times New Roman" w:hAnsi="Times New Roman"/>
                <w:sz w:val="18"/>
              </w:rPr>
              <w:t>Discount factor γ</w:t>
            </w:r>
          </w:p>
        </w:tc>
        <w:tc>
          <w:tcPr>
            <w:tcW w:type="dxa" w:w="2880"/>
          </w:tcPr>
          <w:p>
            <w:pPr>
              <w:jc w:val="center"/>
            </w:pPr>
            <w:r/>
            <w:r>
              <w:rPr>
                <w:rFonts w:ascii="Times New Roman" w:hAnsi="Times New Roman"/>
                <w:sz w:val="18"/>
              </w:rPr>
              <w:t>0.9709</w:t>
            </w:r>
          </w:p>
        </w:tc>
      </w:tr>
      <w:tr>
        <w:tc>
          <w:tcPr>
            <w:tcW w:type="dxa" w:w="4320"/>
          </w:tcPr>
          <w:p>
            <w:pPr>
              <w:jc w:val="left"/>
            </w:pPr>
            <w:r/>
            <w:r>
              <w:rPr>
                <w:rFonts w:ascii="Times New Roman" w:hAnsi="Times New Roman"/>
                <w:sz w:val="18"/>
              </w:rPr>
              <w:t>Double Q-learning</w:t>
            </w:r>
          </w:p>
        </w:tc>
        <w:tc>
          <w:tcPr>
            <w:tcW w:type="dxa" w:w="2880"/>
          </w:tcPr>
          <w:p>
            <w:pPr>
              <w:jc w:val="center"/>
            </w:pPr>
            <w:r/>
            <w:r>
              <w:rPr>
                <w:rFonts w:ascii="Times New Roman" w:hAnsi="Times New Roman"/>
                <w:sz w:val="18"/>
              </w:rPr>
              <w:t>Enabled</w:t>
            </w:r>
          </w:p>
        </w:tc>
      </w:tr>
      <w:tr>
        <w:tc>
          <w:tcPr>
            <w:tcW w:type="dxa" w:w="4320"/>
          </w:tcPr>
          <w:p>
            <w:pPr>
              <w:jc w:val="left"/>
            </w:pPr>
            <w:r/>
            <w:r>
              <w:rPr>
                <w:rFonts w:ascii="Times New Roman" w:hAnsi="Times New Roman"/>
                <w:sz w:val="18"/>
              </w:rPr>
              <w:t>Dueling architecture</w:t>
            </w:r>
          </w:p>
        </w:tc>
        <w:tc>
          <w:tcPr>
            <w:tcW w:type="dxa" w:w="2880"/>
          </w:tcPr>
          <w:p>
            <w:pPr>
              <w:jc w:val="center"/>
            </w:pPr>
            <w:r/>
            <w:r>
              <w:rPr>
                <w:rFonts w:ascii="Times New Roman" w:hAnsi="Times New Roman"/>
                <w:sz w:val="18"/>
              </w:rPr>
              <w:t>Enabled</w:t>
            </w:r>
          </w:p>
        </w:tc>
      </w:tr>
    </w:tbl>
    <w:p>
      <w:pPr>
        <w:spacing w:after="80"/>
      </w:pP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5 placeholder ]</w:t>
            </w:r>
          </w:p>
        </w:tc>
      </w:tr>
    </w:tbl>
    <w:p>
      <w:pPr>
        <w:spacing w:after="280" w:before="80"/>
        <w:jc w:val="center"/>
      </w:pPr>
      <w:r>
        <w:rPr>
          <w:rFonts w:ascii="Times New Roman" w:hAnsi="Times New Roman"/>
          <w:b w:val="0"/>
          <w:i w:val="0"/>
          <w:sz w:val="20"/>
        </w:rPr>
        <w:t>Fig. 5. Training workflow, showing the offline optimization loop, periodic Fitted Q-Evaluation on the validation split, and the checkpoint-selection and collapse-gate logic.</w:t>
      </w:r>
    </w:p>
    <w:p>
      <w:pPr>
        <w:spacing w:before="200" w:after="80"/>
      </w:pPr>
      <w:r>
        <w:rPr>
          <w:rFonts w:ascii="Times New Roman" w:hAnsi="Times New Roman"/>
          <w:b/>
          <w:i/>
          <w:sz w:val="22"/>
        </w:rPr>
        <w:t>H. Off-Policy Evaluation</w:t>
      </w:r>
    </w:p>
    <w:p>
      <w:pPr>
        <w:spacing w:after="120" w:before="0"/>
        <w:ind w:firstLine="288"/>
        <w:jc w:val="both"/>
      </w:pPr>
      <w:r>
        <w:rPr>
          <w:rFonts w:ascii="Times New Roman" w:hAnsi="Times New Roman"/>
          <w:b w:val="0"/>
          <w:i w:val="0"/>
          <w:sz w:val="22"/>
        </w:rPr>
        <w:t>Because the learned policy is never deployed on real patients before being reported, its value must be estimated entirely from the same logged data used for training — a distinct statistical problem from training itself, known as off-policy evaluation (OPE). This paper computes three complementary OPE quantities for every policy under comparison, including the clinicians' own observed policy and several fixed baseline schedules, so that every reported comparison uses an identical protocol.</w:t>
      </w:r>
    </w:p>
    <w:p>
      <w:pPr>
        <w:spacing w:after="120" w:before="0"/>
        <w:ind w:firstLine="288"/>
        <w:jc w:val="both"/>
      </w:pPr>
      <w:r>
        <w:rPr>
          <w:rFonts w:ascii="Times New Roman" w:hAnsi="Times New Roman"/>
          <w:b w:val="0"/>
          <w:i w:val="0"/>
          <w:sz w:val="22"/>
        </w:rPr>
        <w:t>Weighted Importance Sampling (WIS) [10] reweights each logged trajectory's discounted return by the ratio of the evaluation policy's probability to the behavior policy's (fitted via a multinomial logistic regression over the state) for every action along that trajectory, normalizing by the sum of trajectory weights across the dataset. Per-decision WIS applies the analogous reweighting at the level of individual transitions rather than whole trajectories, reducing but not eliminating the same underlying variance problem [11]. Both estimators are accompanied by their effective sample size (ESS),</w:t>
      </w:r>
    </w:p>
    <w:p>
      <w:pPr>
        <w:tabs>
          <w:tab w:pos="9360" w:val="left"/>
        </w:tabs>
        <w:spacing w:before="160" w:after="160"/>
        <w:jc w:val="center"/>
      </w:pPr>
      <w:r>
        <w:rPr>
          <w:rFonts w:ascii="Cambria Math" w:hAnsi="Cambria Math"/>
          <w:i/>
          <w:sz w:val="22"/>
        </w:rPr>
        <w:t>ESS = (Σᵢ wᵢ)² / Σᵢ wᵢ²</w:t>
      </w:r>
      <w:r>
        <w:rPr>
          <w:rFonts w:ascii="Times New Roman" w:hAnsi="Times New Roman"/>
          <w:sz w:val="22"/>
        </w:rPr>
        <w:tab/>
        <w:t>(4)</w:t>
      </w:r>
    </w:p>
    <w:p>
      <w:pPr>
        <w:spacing w:after="120" w:before="0"/>
        <w:ind w:firstLine="288"/>
        <w:jc w:val="both"/>
      </w:pPr>
      <w:r>
        <w:rPr>
          <w:rFonts w:ascii="Times New Roman" w:hAnsi="Times New Roman"/>
          <w:b w:val="0"/>
          <w:i w:val="0"/>
          <w:sz w:val="22"/>
        </w:rPr>
        <w:t>where wᵢ is the (behavior-policy-corrected) importance weight assigned to trajectory i; ESS quantifies how many of the dataset's trajectories are actually contributing usable statistical information to the estimate, as opposed to being drowned out by a small number of trajectories that happen to receive disproportionate importance weight. Fitted Q-Evaluation (FQE) takes a different approach entirely: rather than reweighting observed returns, it fits a separate Q-network to the logged transitions under the evaluation policy's own chosen actions at each successor state, using a Bellman target constrained by a final negative-softplus activation to enforce that all fitted values remain non-positive, since every reward in this MDP is a cost. Because FQE does not rely on importance weights at all, it degrades far more gracefully than WIS when the behavior policy is close to deterministic, and it is treated in this paper as the primary estimator; nonetheless, because FQE remains sensitive to random initialization and mini-batch order [12], every FQE value reported here is averaged across three independent training seeds, and its seed-to-seed standard deviation is reported alongside the point estimate rather than suppressed.</w:t>
      </w:r>
    </w:p>
    <w:p>
      <w:pPr>
        <w:spacing w:after="120" w:before="0"/>
        <w:ind w:firstLine="288"/>
        <w:jc w:val="both"/>
      </w:pPr>
      <w:r>
        <w:rPr>
          <w:rFonts w:ascii="Times New Roman" w:hAnsi="Times New Roman"/>
          <w:b w:val="0"/>
          <w:i w:val="0"/>
          <w:sz w:val="22"/>
        </w:rPr>
        <w:t>A policy is flagged as untrustworthy under this protocol — and excluded from any ranking claim — whenever the fraction of its chosen actions falling below a fixed propensity floor under the fitted behavior-policy model exceeds a fixed threshold, since this indicates the policy is relying on actions the logged data essentially never demonstrates. This support diagnostic, together with ESS and multi-seed FQE variance, is reported for every policy in Section V precisely so the evaluation does not silently present an extrapolated estimate as a genuine measurement.</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7 placeholder ]</w:t>
            </w:r>
          </w:p>
        </w:tc>
      </w:tr>
    </w:tbl>
    <w:p>
      <w:pPr>
        <w:spacing w:after="280" w:before="80"/>
        <w:jc w:val="center"/>
      </w:pPr>
      <w:r>
        <w:rPr>
          <w:rFonts w:ascii="Times New Roman" w:hAnsi="Times New Roman"/>
          <w:b w:val="0"/>
          <w:i w:val="0"/>
          <w:sz w:val="20"/>
        </w:rPr>
        <w:t>Fig. 7. Policy evaluation protocol, showing Weighted Importance Sampling, Fitted Q-Evaluation, and the effective-sample-size and support diagnostics computed alongside them.</w:t>
      </w:r>
    </w:p>
    <w:p>
      <w:pPr>
        <w:spacing w:after="160" w:before="320"/>
        <w:jc w:val="center"/>
      </w:pPr>
      <w:r>
        <w:rPr>
          <w:rFonts w:ascii="Times New Roman" w:hAnsi="Times New Roman"/>
          <w:b/>
          <w:i w:val="0"/>
          <w:sz w:val="24"/>
        </w:rPr>
        <w:t>IV. EXPERIMENTAL SETUP</w:t>
      </w:r>
    </w:p>
    <w:p>
      <w:pPr>
        <w:spacing w:after="120" w:before="0"/>
        <w:ind w:firstLine="288"/>
        <w:jc w:val="both"/>
      </w:pPr>
      <w:r>
        <w:rPr>
          <w:rFonts w:ascii="Times New Roman" w:hAnsi="Times New Roman"/>
          <w:b w:val="0"/>
          <w:i w:val="0"/>
          <w:sz w:val="22"/>
        </w:rPr>
        <w:t>All experiments were run on the transition buffer described in §III-C.3, using the patient-level 70/15/15 train/validation/test split of §III-B (11,489 / 2,473 / 2,445 transitions; 4,813 / 1,032 / 1,024 patients; 981 / 213 / 195 case-associated transitions respectively). Conservative Q-Learning was trained for 20,000 gradient steps with the hyperparameters listed in Table IV and cql_alpha = 5.0, with the checkpoint selected by validation FQE as described in §III-G. All reported figures use the test split unless otherwise noted.</w:t>
      </w:r>
    </w:p>
    <w:p>
      <w:pPr>
        <w:spacing w:after="120" w:before="0"/>
        <w:ind w:firstLine="288"/>
        <w:jc w:val="both"/>
      </w:pPr>
      <w:r>
        <w:rPr>
          <w:rFonts w:ascii="Times New Roman" w:hAnsi="Times New Roman"/>
          <w:b w:val="0"/>
          <w:i w:val="0"/>
          <w:sz w:val="22"/>
        </w:rPr>
        <w:t>Six baseline policies are evaluated under the identical protocol as the learned agent, to place its behavior in clinical context rather than in isolation. The clinicians' own observed policy is replayed by re-encoding each patient's actual logged action. Three fixed-interval baselines — annual (12 months), biennial (24 months), and triennial (36 months) — apply the same interval to every patient regardless of state. The standard-of-care baseline reproduces the Swedish national protocol exactly (18 months for women under 55, folded to the nearest available action, and 24 months for women 55 and older). A density-adaptive rule-based baseline shortens the interval for women whose breast density exceeds a fixed percentile threshold, representing the simplest form of personalization available without learning. A random policy, selecting uniformly among the six available actions independent of state — randomizing both the interval and the recall decision — serves as a sanity floor. Recall decisions for every other baseline are held at the clinically observed standard-of-care rate rather than learned, because — as detailed in §V-B — the recall decision requires mammogram image content this study does not have access to, and mixing a learned recall decision into an otherwise fixed-interval baseline would confound the comparison this experiment is designed to isolate: the value of the interval decision alone.</w:t>
      </w:r>
    </w:p>
    <w:p>
      <w:pPr>
        <w:spacing w:after="120" w:before="0"/>
        <w:ind w:firstLine="288"/>
        <w:jc w:val="both"/>
      </w:pPr>
      <w:r>
        <w:rPr>
          <w:rFonts w:ascii="Times New Roman" w:hAnsi="Times New Roman"/>
          <w:b w:val="0"/>
          <w:i w:val="0"/>
          <w:sz w:val="22"/>
        </w:rPr>
        <w:t>Separately from the offline learning arm, the natural-history simulator described in §III-H is calibrated against six summary statistics measured directly from CSAW-CC under the standard-of-care schedule: the fraction of cancers that are screen-detected versus interval, the node-positive rate conditional on each of those two outcomes, the fraction of tumors exceeding 15 mm conditional on each outcome, and the false-recall rate among cancer-free women. Calibration proceeds by random search over the simulator's ten free parameters followed by local refinement, subject to explicit plausibility constraints on the resulting mean tumor size and preclinical sojourn time (§V-C), and the calibrated model is then used to roll out each of five fixed screening intervals — 6, 12, 18, 24, and 36 months — directly, sidestepping the positivity problem that constrains the offline arm entirely.</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1 placeholder ]</w:t>
            </w:r>
          </w:p>
        </w:tc>
      </w:tr>
    </w:tbl>
    <w:p>
      <w:pPr>
        <w:spacing w:after="280" w:before="80"/>
        <w:jc w:val="center"/>
      </w:pPr>
      <w:r>
        <w:rPr>
          <w:rFonts w:ascii="Times New Roman" w:hAnsi="Times New Roman"/>
          <w:b w:val="0"/>
          <w:i w:val="0"/>
          <w:sz w:val="20"/>
        </w:rPr>
        <w:t>Fig. 1. Overall system architecture, showing the two-arm design: the offline Conservative Q-Learning pipeline operating on logged CSAW-CC transitions, and the calibrated natural-history simulator operating independently, with their outputs compared but never merged.</w:t>
      </w:r>
    </w:p>
    <w:p>
      <w:pPr>
        <w:spacing w:after="160" w:before="320"/>
        <w:jc w:val="center"/>
      </w:pPr>
      <w:r>
        <w:rPr>
          <w:rFonts w:ascii="Times New Roman" w:hAnsi="Times New Roman"/>
          <w:b/>
          <w:i w:val="0"/>
          <w:sz w:val="24"/>
        </w:rPr>
        <w:t>V. RESULTS</w:t>
      </w:r>
    </w:p>
    <w:p>
      <w:pPr>
        <w:spacing w:before="200" w:after="80"/>
      </w:pPr>
      <w:r>
        <w:rPr>
          <w:rFonts w:ascii="Times New Roman" w:hAnsi="Times New Roman"/>
          <w:b/>
          <w:i/>
          <w:sz w:val="22"/>
        </w:rPr>
        <w:t>A. Off-Policy Evaluation of the Learned Policy</w:t>
      </w:r>
    </w:p>
    <w:p>
      <w:pPr>
        <w:spacing w:after="120" w:before="0"/>
        <w:ind w:firstLine="288"/>
        <w:jc w:val="both"/>
      </w:pPr>
      <w:r>
        <w:rPr>
          <w:rFonts w:ascii="Times New Roman" w:hAnsi="Times New Roman"/>
          <w:b w:val="0"/>
          <w:i w:val="0"/>
          <w:sz w:val="22"/>
        </w:rPr>
        <w:t>Table VI reports the full off-policy evaluation on the test split. Conservative Q-Learning's fitted-Q value (−3.550, standard deviation 1.354 across three seeds) falls within one standard deviation of the observed clinicians' policy (−2.489, SD 2.054) and of the biennial baseline (−2.700, SD 1.030), and its recommended action distribution places 93.3% of patients on a 24-month interval and 6.7% on 12 months, essentially never selecting 36 months. Two policies — annual screening and the random baseline — are flagged by the support diagnostic as untrustworthy (support fraction 0.453 and 0.473 respectively, both below the 0.5 threshold), meaning their FQE values of −6.905 and −22.679 reflect extrapolation into a poorly supported action space rather than a reliable estimate, and are excluded from any ranking claim. The density-adaptive rule-based baseline produces a numerically extreme and highly variable FQE estimate (−126.19, SD 155.76) despite passing the support threshold, an instability this paper reports rather than suppresses and flags explicitly as an open methodological question in §VII.</w:t>
      </w:r>
    </w:p>
    <w:p>
      <w:pPr>
        <w:spacing w:after="0" w:before="200"/>
        <w:jc w:val="center"/>
      </w:pPr>
      <w:r>
        <w:rPr>
          <w:rFonts w:ascii="Times New Roman" w:hAnsi="Times New Roman"/>
          <w:b w:val="0"/>
          <w:i w:val="0"/>
          <w:sz w:val="20"/>
        </w:rPr>
        <w:t>TABLE VI</w:t>
      </w:r>
    </w:p>
    <w:p>
      <w:pPr>
        <w:spacing w:after="80" w:before="0"/>
        <w:jc w:val="center"/>
      </w:pPr>
      <w:r>
        <w:rPr>
          <w:rFonts w:ascii="Times New Roman" w:hAnsi="Times New Roman"/>
          <w:b w:val="0"/>
          <w:i w:val="0"/>
          <w:sz w:val="20"/>
        </w:rPr>
        <w:t>EXPERIMENTAL RESULTS — OFFLINE EVALUATION (TEST SPLIT)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shd w:val="clear" w:color="auto" w:fill="D9D9D9"/>
          </w:tcPr>
          <w:p>
            <w:pPr>
              <w:jc w:val="center"/>
            </w:pPr>
            <w:r/>
            <w:r>
              <w:rPr>
                <w:rFonts w:ascii="Times New Roman" w:hAnsi="Times New Roman"/>
                <w:b/>
                <w:sz w:val="18"/>
              </w:rPr>
              <w:t>Policy</w:t>
            </w:r>
          </w:p>
        </w:tc>
        <w:tc>
          <w:tcPr>
            <w:tcW w:type="dxa" w:w="1008"/>
            <w:shd w:val="clear" w:color="auto" w:fill="D9D9D9"/>
          </w:tcPr>
          <w:p>
            <w:pPr>
              <w:jc w:val="center"/>
            </w:pPr>
            <w:r/>
            <w:r>
              <w:rPr>
                <w:rFonts w:ascii="Times New Roman" w:hAnsi="Times New Roman"/>
                <w:b/>
                <w:sz w:val="18"/>
              </w:rPr>
              <w:t>FQE</w:t>
            </w:r>
          </w:p>
        </w:tc>
        <w:tc>
          <w:tcPr>
            <w:tcW w:type="dxa" w:w="864"/>
            <w:shd w:val="clear" w:color="auto" w:fill="D9D9D9"/>
          </w:tcPr>
          <w:p>
            <w:pPr>
              <w:jc w:val="center"/>
            </w:pPr>
            <w:r/>
            <w:r>
              <w:rPr>
                <w:rFonts w:ascii="Times New Roman" w:hAnsi="Times New Roman"/>
                <w:b/>
                <w:sz w:val="18"/>
              </w:rPr>
              <w:t>FQE SD</w:t>
            </w:r>
          </w:p>
        </w:tc>
        <w:tc>
          <w:tcPr>
            <w:tcW w:type="dxa" w:w="1008"/>
            <w:shd w:val="clear" w:color="auto" w:fill="D9D9D9"/>
          </w:tcPr>
          <w:p>
            <w:pPr>
              <w:jc w:val="center"/>
            </w:pPr>
            <w:r/>
            <w:r>
              <w:rPr>
                <w:rFonts w:ascii="Times New Roman" w:hAnsi="Times New Roman"/>
                <w:b/>
                <w:sz w:val="18"/>
              </w:rPr>
              <w:t>Support</w:t>
            </w:r>
          </w:p>
        </w:tc>
        <w:tc>
          <w:tcPr>
            <w:tcW w:type="dxa" w:w="720"/>
            <w:shd w:val="clear" w:color="auto" w:fill="D9D9D9"/>
          </w:tcPr>
          <w:p>
            <w:pPr>
              <w:jc w:val="center"/>
            </w:pPr>
            <w:r/>
            <w:r>
              <w:rPr>
                <w:rFonts w:ascii="Times New Roman" w:hAnsi="Times New Roman"/>
                <w:b/>
                <w:sz w:val="18"/>
              </w:rPr>
              <w:t>ESS</w:t>
            </w:r>
          </w:p>
        </w:tc>
        <w:tc>
          <w:tcPr>
            <w:tcW w:type="dxa" w:w="1152"/>
            <w:shd w:val="clear" w:color="auto" w:fill="D9D9D9"/>
          </w:tcPr>
          <w:p>
            <w:pPr>
              <w:jc w:val="center"/>
            </w:pPr>
            <w:r/>
            <w:r>
              <w:rPr>
                <w:rFonts w:ascii="Times New Roman" w:hAnsi="Times New Roman"/>
                <w:b/>
                <w:sz w:val="18"/>
              </w:rPr>
              <w:t>Interval (mo)</w:t>
            </w:r>
          </w:p>
        </w:tc>
        <w:tc>
          <w:tcPr>
            <w:tcW w:type="dxa" w:w="864"/>
            <w:shd w:val="clear" w:color="auto" w:fill="D9D9D9"/>
          </w:tcPr>
          <w:p>
            <w:pPr>
              <w:jc w:val="center"/>
            </w:pPr>
            <w:r/>
            <w:r>
              <w:rPr>
                <w:rFonts w:ascii="Times New Roman" w:hAnsi="Times New Roman"/>
                <w:b/>
                <w:sz w:val="18"/>
              </w:rPr>
              <w:t>Sens.</w:t>
            </w:r>
          </w:p>
        </w:tc>
        <w:tc>
          <w:tcPr>
            <w:tcW w:type="dxa" w:w="720"/>
            <w:shd w:val="clear" w:color="auto" w:fill="D9D9D9"/>
          </w:tcPr>
          <w:p>
            <w:pPr>
              <w:jc w:val="center"/>
            </w:pPr>
            <w:r/>
            <w:r>
              <w:rPr>
                <w:rFonts w:ascii="Times New Roman" w:hAnsi="Times New Roman"/>
                <w:b/>
                <w:sz w:val="18"/>
              </w:rPr>
              <w:t>Trust.</w:t>
            </w:r>
          </w:p>
        </w:tc>
      </w:tr>
      <w:tr>
        <w:tc>
          <w:tcPr>
            <w:tcW w:type="dxa" w:w="2304"/>
          </w:tcPr>
          <w:p>
            <w:pPr>
              <w:jc w:val="left"/>
            </w:pPr>
            <w:r/>
            <w:r>
              <w:rPr>
                <w:rFonts w:ascii="Times New Roman" w:hAnsi="Times New Roman"/>
                <w:sz w:val="18"/>
              </w:rPr>
              <w:t>Observed (clinicians)</w:t>
            </w:r>
          </w:p>
        </w:tc>
        <w:tc>
          <w:tcPr>
            <w:tcW w:type="dxa" w:w="1008"/>
          </w:tcPr>
          <w:p>
            <w:pPr>
              <w:jc w:val="center"/>
            </w:pPr>
            <w:r/>
            <w:r>
              <w:rPr>
                <w:rFonts w:ascii="Times New Roman" w:hAnsi="Times New Roman"/>
                <w:sz w:val="18"/>
              </w:rPr>
              <w:t>−2.489</w:t>
            </w:r>
          </w:p>
        </w:tc>
        <w:tc>
          <w:tcPr>
            <w:tcW w:type="dxa" w:w="864"/>
          </w:tcPr>
          <w:p>
            <w:pPr>
              <w:jc w:val="center"/>
            </w:pPr>
            <w:r/>
            <w:r>
              <w:rPr>
                <w:rFonts w:ascii="Times New Roman" w:hAnsi="Times New Roman"/>
                <w:sz w:val="18"/>
              </w:rPr>
              <w:t>2.054</w:t>
            </w:r>
          </w:p>
        </w:tc>
        <w:tc>
          <w:tcPr>
            <w:tcW w:type="dxa" w:w="1008"/>
          </w:tcPr>
          <w:p>
            <w:pPr>
              <w:jc w:val="center"/>
            </w:pPr>
            <w:r/>
            <w:r>
              <w:rPr>
                <w:rFonts w:ascii="Times New Roman" w:hAnsi="Times New Roman"/>
                <w:sz w:val="18"/>
              </w:rPr>
              <w:t>99.5%</w:t>
            </w:r>
          </w:p>
        </w:tc>
        <w:tc>
          <w:tcPr>
            <w:tcW w:type="dxa" w:w="720"/>
          </w:tcPr>
          <w:p>
            <w:pPr>
              <w:jc w:val="center"/>
            </w:pPr>
            <w:r/>
            <w:r>
              <w:rPr>
                <w:rFonts w:ascii="Times New Roman" w:hAnsi="Times New Roman"/>
                <w:sz w:val="18"/>
              </w:rPr>
              <w:t>1.00</w:t>
            </w:r>
          </w:p>
        </w:tc>
        <w:tc>
          <w:tcPr>
            <w:tcW w:type="dxa" w:w="1152"/>
          </w:tcPr>
          <w:p>
            <w:pPr>
              <w:jc w:val="center"/>
            </w:pPr>
            <w:r/>
            <w:r>
              <w:rPr>
                <w:rFonts w:ascii="Times New Roman" w:hAnsi="Times New Roman"/>
                <w:sz w:val="18"/>
              </w:rPr>
              <w:t>23.7</w:t>
            </w:r>
          </w:p>
        </w:tc>
        <w:tc>
          <w:tcPr>
            <w:tcW w:type="dxa" w:w="864"/>
          </w:tcPr>
          <w:p>
            <w:pPr>
              <w:jc w:val="center"/>
            </w:pPr>
            <w:r/>
            <w:r>
              <w:rPr>
                <w:rFonts w:ascii="Times New Roman" w:hAnsi="Times New Roman"/>
                <w:sz w:val="18"/>
              </w:rPr>
              <w:t>0.759</w:t>
            </w:r>
          </w:p>
        </w:tc>
        <w:tc>
          <w:tcPr>
            <w:tcW w:type="dxa" w:w="720"/>
          </w:tcPr>
          <w:p>
            <w:pPr>
              <w:jc w:val="center"/>
            </w:pPr>
            <w:r/>
            <w:r>
              <w:rPr>
                <w:rFonts w:ascii="Times New Roman" w:hAnsi="Times New Roman"/>
                <w:sz w:val="18"/>
              </w:rPr>
              <w:t>Yes</w:t>
            </w:r>
          </w:p>
        </w:tc>
      </w:tr>
      <w:tr>
        <w:tc>
          <w:tcPr>
            <w:tcW w:type="dxa" w:w="2304"/>
          </w:tcPr>
          <w:p>
            <w:pPr>
              <w:jc w:val="left"/>
            </w:pPr>
            <w:r/>
            <w:r>
              <w:rPr>
                <w:rFonts w:ascii="Times New Roman" w:hAnsi="Times New Roman"/>
                <w:sz w:val="18"/>
              </w:rPr>
              <w:t>Standard of care</w:t>
            </w:r>
          </w:p>
        </w:tc>
        <w:tc>
          <w:tcPr>
            <w:tcW w:type="dxa" w:w="1008"/>
          </w:tcPr>
          <w:p>
            <w:pPr>
              <w:jc w:val="center"/>
            </w:pPr>
            <w:r/>
            <w:r>
              <w:rPr>
                <w:rFonts w:ascii="Times New Roman" w:hAnsi="Times New Roman"/>
                <w:sz w:val="18"/>
              </w:rPr>
              <w:t>−3.029</w:t>
            </w:r>
          </w:p>
        </w:tc>
        <w:tc>
          <w:tcPr>
            <w:tcW w:type="dxa" w:w="864"/>
          </w:tcPr>
          <w:p>
            <w:pPr>
              <w:jc w:val="center"/>
            </w:pPr>
            <w:r/>
            <w:r>
              <w:rPr>
                <w:rFonts w:ascii="Times New Roman" w:hAnsi="Times New Roman"/>
                <w:sz w:val="18"/>
              </w:rPr>
              <w:t>2.254</w:t>
            </w:r>
          </w:p>
        </w:tc>
        <w:tc>
          <w:tcPr>
            <w:tcW w:type="dxa" w:w="1008"/>
          </w:tcPr>
          <w:p>
            <w:pPr>
              <w:jc w:val="center"/>
            </w:pPr>
            <w:r/>
            <w:r>
              <w:rPr>
                <w:rFonts w:ascii="Times New Roman" w:hAnsi="Times New Roman"/>
                <w:sz w:val="18"/>
              </w:rPr>
              <w:t>86.9%</w:t>
            </w:r>
          </w:p>
        </w:tc>
        <w:tc>
          <w:tcPr>
            <w:tcW w:type="dxa" w:w="720"/>
          </w:tcPr>
          <w:p>
            <w:pPr>
              <w:jc w:val="center"/>
            </w:pPr>
            <w:r/>
            <w:r>
              <w:rPr>
                <w:rFonts w:ascii="Times New Roman" w:hAnsi="Times New Roman"/>
                <w:sz w:val="18"/>
              </w:rPr>
              <w:t>1.00</w:t>
            </w:r>
          </w:p>
        </w:tc>
        <w:tc>
          <w:tcPr>
            <w:tcW w:type="dxa" w:w="1152"/>
          </w:tcPr>
          <w:p>
            <w:pPr>
              <w:jc w:val="center"/>
            </w:pPr>
            <w:r/>
            <w:r>
              <w:rPr>
                <w:rFonts w:ascii="Times New Roman" w:hAnsi="Times New Roman"/>
                <w:sz w:val="18"/>
              </w:rPr>
              <w:t>17.0</w:t>
            </w:r>
          </w:p>
        </w:tc>
        <w:tc>
          <w:tcPr>
            <w:tcW w:type="dxa" w:w="864"/>
          </w:tcPr>
          <w:p>
            <w:pPr>
              <w:jc w:val="center"/>
            </w:pPr>
            <w:r/>
            <w:r>
              <w:rPr>
                <w:rFonts w:ascii="Times New Roman" w:hAnsi="Times New Roman"/>
                <w:sz w:val="18"/>
              </w:rPr>
              <w:t>0.759</w:t>
            </w:r>
          </w:p>
        </w:tc>
        <w:tc>
          <w:tcPr>
            <w:tcW w:type="dxa" w:w="720"/>
          </w:tcPr>
          <w:p>
            <w:pPr>
              <w:jc w:val="center"/>
            </w:pPr>
            <w:r/>
            <w:r>
              <w:rPr>
                <w:rFonts w:ascii="Times New Roman" w:hAnsi="Times New Roman"/>
                <w:sz w:val="18"/>
              </w:rPr>
              <w:t>Yes</w:t>
            </w:r>
          </w:p>
        </w:tc>
      </w:tr>
      <w:tr>
        <w:tc>
          <w:tcPr>
            <w:tcW w:type="dxa" w:w="2304"/>
          </w:tcPr>
          <w:p>
            <w:pPr>
              <w:jc w:val="left"/>
            </w:pPr>
            <w:r/>
            <w:r>
              <w:rPr>
                <w:rFonts w:ascii="Times New Roman" w:hAnsi="Times New Roman"/>
                <w:sz w:val="18"/>
              </w:rPr>
              <w:t>Annual (12mo)</w:t>
            </w:r>
          </w:p>
        </w:tc>
        <w:tc>
          <w:tcPr>
            <w:tcW w:type="dxa" w:w="1008"/>
          </w:tcPr>
          <w:p>
            <w:pPr>
              <w:jc w:val="center"/>
            </w:pPr>
            <w:r/>
            <w:r>
              <w:rPr>
                <w:rFonts w:ascii="Times New Roman" w:hAnsi="Times New Roman"/>
                <w:sz w:val="18"/>
              </w:rPr>
              <w:t>−6.905</w:t>
            </w:r>
          </w:p>
        </w:tc>
        <w:tc>
          <w:tcPr>
            <w:tcW w:type="dxa" w:w="864"/>
          </w:tcPr>
          <w:p>
            <w:pPr>
              <w:jc w:val="center"/>
            </w:pPr>
            <w:r/>
            <w:r>
              <w:rPr>
                <w:rFonts w:ascii="Times New Roman" w:hAnsi="Times New Roman"/>
                <w:sz w:val="18"/>
              </w:rPr>
              <w:t>9.315</w:t>
            </w:r>
          </w:p>
        </w:tc>
        <w:tc>
          <w:tcPr>
            <w:tcW w:type="dxa" w:w="1008"/>
          </w:tcPr>
          <w:p>
            <w:pPr>
              <w:jc w:val="center"/>
            </w:pPr>
            <w:r/>
            <w:r>
              <w:rPr>
                <w:rFonts w:ascii="Times New Roman" w:hAnsi="Times New Roman"/>
                <w:sz w:val="18"/>
              </w:rPr>
              <w:t>45.3%</w:t>
            </w:r>
          </w:p>
        </w:tc>
        <w:tc>
          <w:tcPr>
            <w:tcW w:type="dxa" w:w="720"/>
          </w:tcPr>
          <w:p>
            <w:pPr>
              <w:jc w:val="center"/>
            </w:pPr>
            <w:r/>
            <w:r>
              <w:rPr>
                <w:rFonts w:ascii="Times New Roman" w:hAnsi="Times New Roman"/>
                <w:sz w:val="18"/>
              </w:rPr>
              <w:t>1.00</w:t>
            </w:r>
          </w:p>
        </w:tc>
        <w:tc>
          <w:tcPr>
            <w:tcW w:type="dxa" w:w="1152"/>
          </w:tcPr>
          <w:p>
            <w:pPr>
              <w:jc w:val="center"/>
            </w:pPr>
            <w:r/>
            <w:r>
              <w:rPr>
                <w:rFonts w:ascii="Times New Roman" w:hAnsi="Times New Roman"/>
                <w:sz w:val="18"/>
              </w:rPr>
              <w:t>12.0</w:t>
            </w:r>
          </w:p>
        </w:tc>
        <w:tc>
          <w:tcPr>
            <w:tcW w:type="dxa" w:w="864"/>
          </w:tcPr>
          <w:p>
            <w:pPr>
              <w:jc w:val="center"/>
            </w:pPr>
            <w:r/>
            <w:r>
              <w:rPr>
                <w:rFonts w:ascii="Times New Roman" w:hAnsi="Times New Roman"/>
                <w:sz w:val="18"/>
              </w:rPr>
              <w:t>0.759</w:t>
            </w:r>
          </w:p>
        </w:tc>
        <w:tc>
          <w:tcPr>
            <w:tcW w:type="dxa" w:w="720"/>
          </w:tcPr>
          <w:p>
            <w:pPr>
              <w:jc w:val="center"/>
            </w:pPr>
            <w:r/>
            <w:r>
              <w:rPr>
                <w:rFonts w:ascii="Times New Roman" w:hAnsi="Times New Roman"/>
                <w:sz w:val="18"/>
              </w:rPr>
              <w:t>No</w:t>
            </w:r>
          </w:p>
        </w:tc>
      </w:tr>
      <w:tr>
        <w:tc>
          <w:tcPr>
            <w:tcW w:type="dxa" w:w="2304"/>
          </w:tcPr>
          <w:p>
            <w:pPr>
              <w:jc w:val="left"/>
            </w:pPr>
            <w:r/>
            <w:r>
              <w:rPr>
                <w:rFonts w:ascii="Times New Roman" w:hAnsi="Times New Roman"/>
                <w:sz w:val="18"/>
              </w:rPr>
              <w:t>Biennial (24mo)</w:t>
            </w:r>
          </w:p>
        </w:tc>
        <w:tc>
          <w:tcPr>
            <w:tcW w:type="dxa" w:w="1008"/>
          </w:tcPr>
          <w:p>
            <w:pPr>
              <w:jc w:val="center"/>
            </w:pPr>
            <w:r/>
            <w:r>
              <w:rPr>
                <w:rFonts w:ascii="Times New Roman" w:hAnsi="Times New Roman"/>
                <w:sz w:val="18"/>
              </w:rPr>
              <w:t>−2.700</w:t>
            </w:r>
          </w:p>
        </w:tc>
        <w:tc>
          <w:tcPr>
            <w:tcW w:type="dxa" w:w="864"/>
          </w:tcPr>
          <w:p>
            <w:pPr>
              <w:jc w:val="center"/>
            </w:pPr>
            <w:r/>
            <w:r>
              <w:rPr>
                <w:rFonts w:ascii="Times New Roman" w:hAnsi="Times New Roman"/>
                <w:sz w:val="18"/>
              </w:rPr>
              <w:t>1.030</w:t>
            </w:r>
          </w:p>
        </w:tc>
        <w:tc>
          <w:tcPr>
            <w:tcW w:type="dxa" w:w="1008"/>
          </w:tcPr>
          <w:p>
            <w:pPr>
              <w:jc w:val="center"/>
            </w:pPr>
            <w:r/>
            <w:r>
              <w:rPr>
                <w:rFonts w:ascii="Times New Roman" w:hAnsi="Times New Roman"/>
                <w:sz w:val="18"/>
              </w:rPr>
              <w:t>100.0%</w:t>
            </w:r>
          </w:p>
        </w:tc>
        <w:tc>
          <w:tcPr>
            <w:tcW w:type="dxa" w:w="720"/>
          </w:tcPr>
          <w:p>
            <w:pPr>
              <w:jc w:val="center"/>
            </w:pPr>
            <w:r/>
            <w:r>
              <w:rPr>
                <w:rFonts w:ascii="Times New Roman" w:hAnsi="Times New Roman"/>
                <w:sz w:val="18"/>
              </w:rPr>
              <w:t>1.26</w:t>
            </w:r>
          </w:p>
        </w:tc>
        <w:tc>
          <w:tcPr>
            <w:tcW w:type="dxa" w:w="1152"/>
          </w:tcPr>
          <w:p>
            <w:pPr>
              <w:jc w:val="center"/>
            </w:pPr>
            <w:r/>
            <w:r>
              <w:rPr>
                <w:rFonts w:ascii="Times New Roman" w:hAnsi="Times New Roman"/>
                <w:sz w:val="18"/>
              </w:rPr>
              <w:t>24.0</w:t>
            </w:r>
          </w:p>
        </w:tc>
        <w:tc>
          <w:tcPr>
            <w:tcW w:type="dxa" w:w="864"/>
          </w:tcPr>
          <w:p>
            <w:pPr>
              <w:jc w:val="center"/>
            </w:pPr>
            <w:r/>
            <w:r>
              <w:rPr>
                <w:rFonts w:ascii="Times New Roman" w:hAnsi="Times New Roman"/>
                <w:sz w:val="18"/>
              </w:rPr>
              <w:t>0.759</w:t>
            </w:r>
          </w:p>
        </w:tc>
        <w:tc>
          <w:tcPr>
            <w:tcW w:type="dxa" w:w="720"/>
          </w:tcPr>
          <w:p>
            <w:pPr>
              <w:jc w:val="center"/>
            </w:pPr>
            <w:r/>
            <w:r>
              <w:rPr>
                <w:rFonts w:ascii="Times New Roman" w:hAnsi="Times New Roman"/>
                <w:sz w:val="18"/>
              </w:rPr>
              <w:t>Yes</w:t>
            </w:r>
          </w:p>
        </w:tc>
      </w:tr>
      <w:tr>
        <w:tc>
          <w:tcPr>
            <w:tcW w:type="dxa" w:w="2304"/>
          </w:tcPr>
          <w:p>
            <w:pPr>
              <w:jc w:val="left"/>
            </w:pPr>
            <w:r/>
            <w:r>
              <w:rPr>
                <w:rFonts w:ascii="Times New Roman" w:hAnsi="Times New Roman"/>
                <w:sz w:val="18"/>
              </w:rPr>
              <w:t>Triennial (36mo)</w:t>
            </w:r>
          </w:p>
        </w:tc>
        <w:tc>
          <w:tcPr>
            <w:tcW w:type="dxa" w:w="1008"/>
          </w:tcPr>
          <w:p>
            <w:pPr>
              <w:jc w:val="center"/>
            </w:pPr>
            <w:r/>
            <w:r>
              <w:rPr>
                <w:rFonts w:ascii="Times New Roman" w:hAnsi="Times New Roman"/>
                <w:sz w:val="18"/>
              </w:rPr>
              <w:t>−3.453</w:t>
            </w:r>
          </w:p>
        </w:tc>
        <w:tc>
          <w:tcPr>
            <w:tcW w:type="dxa" w:w="864"/>
          </w:tcPr>
          <w:p>
            <w:pPr>
              <w:jc w:val="center"/>
            </w:pPr>
            <w:r/>
            <w:r>
              <w:rPr>
                <w:rFonts w:ascii="Times New Roman" w:hAnsi="Times New Roman"/>
                <w:sz w:val="18"/>
              </w:rPr>
              <w:t>2.062</w:t>
            </w:r>
          </w:p>
        </w:tc>
        <w:tc>
          <w:tcPr>
            <w:tcW w:type="dxa" w:w="1008"/>
          </w:tcPr>
          <w:p>
            <w:pPr>
              <w:jc w:val="center"/>
            </w:pPr>
            <w:r/>
            <w:r>
              <w:rPr>
                <w:rFonts w:ascii="Times New Roman" w:hAnsi="Times New Roman"/>
                <w:sz w:val="18"/>
              </w:rPr>
              <w:t>97.9%</w:t>
            </w:r>
          </w:p>
        </w:tc>
        <w:tc>
          <w:tcPr>
            <w:tcW w:type="dxa" w:w="720"/>
          </w:tcPr>
          <w:p>
            <w:pPr>
              <w:jc w:val="center"/>
            </w:pPr>
            <w:r/>
            <w:r>
              <w:rPr>
                <w:rFonts w:ascii="Times New Roman" w:hAnsi="Times New Roman"/>
                <w:sz w:val="18"/>
              </w:rPr>
              <w:t>9.91</w:t>
            </w:r>
          </w:p>
        </w:tc>
        <w:tc>
          <w:tcPr>
            <w:tcW w:type="dxa" w:w="1152"/>
          </w:tcPr>
          <w:p>
            <w:pPr>
              <w:jc w:val="center"/>
            </w:pPr>
            <w:r/>
            <w:r>
              <w:rPr>
                <w:rFonts w:ascii="Times New Roman" w:hAnsi="Times New Roman"/>
                <w:sz w:val="18"/>
              </w:rPr>
              <w:t>36.0</w:t>
            </w:r>
          </w:p>
        </w:tc>
        <w:tc>
          <w:tcPr>
            <w:tcW w:type="dxa" w:w="864"/>
          </w:tcPr>
          <w:p>
            <w:pPr>
              <w:jc w:val="center"/>
            </w:pPr>
            <w:r/>
            <w:r>
              <w:rPr>
                <w:rFonts w:ascii="Times New Roman" w:hAnsi="Times New Roman"/>
                <w:sz w:val="18"/>
              </w:rPr>
              <w:t>0.759</w:t>
            </w:r>
          </w:p>
        </w:tc>
        <w:tc>
          <w:tcPr>
            <w:tcW w:type="dxa" w:w="720"/>
          </w:tcPr>
          <w:p>
            <w:pPr>
              <w:jc w:val="center"/>
            </w:pPr>
            <w:r/>
            <w:r>
              <w:rPr>
                <w:rFonts w:ascii="Times New Roman" w:hAnsi="Times New Roman"/>
                <w:sz w:val="18"/>
              </w:rPr>
              <w:t>Yes</w:t>
            </w:r>
          </w:p>
        </w:tc>
      </w:tr>
      <w:tr>
        <w:tc>
          <w:tcPr>
            <w:tcW w:type="dxa" w:w="2304"/>
          </w:tcPr>
          <w:p>
            <w:pPr>
              <w:jc w:val="left"/>
            </w:pPr>
            <w:r/>
            <w:r>
              <w:rPr>
                <w:rFonts w:ascii="Times New Roman" w:hAnsi="Times New Roman"/>
                <w:sz w:val="18"/>
              </w:rPr>
              <w:t>Density-adaptive</w:t>
            </w:r>
          </w:p>
        </w:tc>
        <w:tc>
          <w:tcPr>
            <w:tcW w:type="dxa" w:w="1008"/>
          </w:tcPr>
          <w:p>
            <w:pPr>
              <w:jc w:val="center"/>
            </w:pPr>
            <w:r/>
            <w:r>
              <w:rPr>
                <w:rFonts w:ascii="Times New Roman" w:hAnsi="Times New Roman"/>
                <w:sz w:val="18"/>
              </w:rPr>
              <w:t>−126.19</w:t>
            </w:r>
          </w:p>
        </w:tc>
        <w:tc>
          <w:tcPr>
            <w:tcW w:type="dxa" w:w="864"/>
          </w:tcPr>
          <w:p>
            <w:pPr>
              <w:jc w:val="center"/>
            </w:pPr>
            <w:r/>
            <w:r>
              <w:rPr>
                <w:rFonts w:ascii="Times New Roman" w:hAnsi="Times New Roman"/>
                <w:sz w:val="18"/>
              </w:rPr>
              <w:t>155.76</w:t>
            </w:r>
          </w:p>
        </w:tc>
        <w:tc>
          <w:tcPr>
            <w:tcW w:type="dxa" w:w="1008"/>
          </w:tcPr>
          <w:p>
            <w:pPr>
              <w:jc w:val="center"/>
            </w:pPr>
            <w:r/>
            <w:r>
              <w:rPr>
                <w:rFonts w:ascii="Times New Roman" w:hAnsi="Times New Roman"/>
                <w:sz w:val="18"/>
              </w:rPr>
              <w:t>88.1%</w:t>
            </w:r>
          </w:p>
        </w:tc>
        <w:tc>
          <w:tcPr>
            <w:tcW w:type="dxa" w:w="720"/>
          </w:tcPr>
          <w:p>
            <w:pPr>
              <w:jc w:val="center"/>
            </w:pPr>
            <w:r/>
            <w:r>
              <w:rPr>
                <w:rFonts w:ascii="Times New Roman" w:hAnsi="Times New Roman"/>
                <w:sz w:val="18"/>
              </w:rPr>
              <w:t>1.00</w:t>
            </w:r>
          </w:p>
        </w:tc>
        <w:tc>
          <w:tcPr>
            <w:tcW w:type="dxa" w:w="1152"/>
          </w:tcPr>
          <w:p>
            <w:pPr>
              <w:jc w:val="center"/>
            </w:pPr>
            <w:r/>
            <w:r>
              <w:rPr>
                <w:rFonts w:ascii="Times New Roman" w:hAnsi="Times New Roman"/>
                <w:sz w:val="18"/>
              </w:rPr>
              <w:t>20.8</w:t>
            </w:r>
          </w:p>
        </w:tc>
        <w:tc>
          <w:tcPr>
            <w:tcW w:type="dxa" w:w="864"/>
          </w:tcPr>
          <w:p>
            <w:pPr>
              <w:jc w:val="center"/>
            </w:pPr>
            <w:r/>
            <w:r>
              <w:rPr>
                <w:rFonts w:ascii="Times New Roman" w:hAnsi="Times New Roman"/>
                <w:sz w:val="18"/>
              </w:rPr>
              <w:t>0.759</w:t>
            </w:r>
          </w:p>
        </w:tc>
        <w:tc>
          <w:tcPr>
            <w:tcW w:type="dxa" w:w="720"/>
          </w:tcPr>
          <w:p>
            <w:pPr>
              <w:jc w:val="center"/>
            </w:pPr>
            <w:r/>
            <w:r>
              <w:rPr>
                <w:rFonts w:ascii="Times New Roman" w:hAnsi="Times New Roman"/>
                <w:sz w:val="18"/>
              </w:rPr>
              <w:t>Yes*</w:t>
            </w:r>
          </w:p>
        </w:tc>
      </w:tr>
      <w:tr>
        <w:tc>
          <w:tcPr>
            <w:tcW w:type="dxa" w:w="2304"/>
          </w:tcPr>
          <w:p>
            <w:pPr>
              <w:jc w:val="left"/>
            </w:pPr>
            <w:r/>
            <w:r>
              <w:rPr>
                <w:rFonts w:ascii="Times New Roman" w:hAnsi="Times New Roman"/>
                <w:sz w:val="18"/>
              </w:rPr>
              <w:t>Random</w:t>
            </w:r>
          </w:p>
        </w:tc>
        <w:tc>
          <w:tcPr>
            <w:tcW w:type="dxa" w:w="1008"/>
          </w:tcPr>
          <w:p>
            <w:pPr>
              <w:jc w:val="center"/>
            </w:pPr>
            <w:r/>
            <w:r>
              <w:rPr>
                <w:rFonts w:ascii="Times New Roman" w:hAnsi="Times New Roman"/>
                <w:sz w:val="18"/>
              </w:rPr>
              <w:t>−22.679</w:t>
            </w:r>
          </w:p>
        </w:tc>
        <w:tc>
          <w:tcPr>
            <w:tcW w:type="dxa" w:w="864"/>
          </w:tcPr>
          <w:p>
            <w:pPr>
              <w:jc w:val="center"/>
            </w:pPr>
            <w:r/>
            <w:r>
              <w:rPr>
                <w:rFonts w:ascii="Times New Roman" w:hAnsi="Times New Roman"/>
                <w:sz w:val="18"/>
              </w:rPr>
              <w:t>27.520</w:t>
            </w:r>
          </w:p>
        </w:tc>
        <w:tc>
          <w:tcPr>
            <w:tcW w:type="dxa" w:w="1008"/>
          </w:tcPr>
          <w:p>
            <w:pPr>
              <w:jc w:val="center"/>
            </w:pPr>
            <w:r/>
            <w:r>
              <w:rPr>
                <w:rFonts w:ascii="Times New Roman" w:hAnsi="Times New Roman"/>
                <w:sz w:val="18"/>
              </w:rPr>
              <w:t>47.3%</w:t>
            </w:r>
          </w:p>
        </w:tc>
        <w:tc>
          <w:tcPr>
            <w:tcW w:type="dxa" w:w="720"/>
          </w:tcPr>
          <w:p>
            <w:pPr>
              <w:jc w:val="center"/>
            </w:pPr>
            <w:r/>
            <w:r>
              <w:rPr>
                <w:rFonts w:ascii="Times New Roman" w:hAnsi="Times New Roman"/>
                <w:sz w:val="18"/>
              </w:rPr>
              <w:t>1.00</w:t>
            </w:r>
          </w:p>
        </w:tc>
        <w:tc>
          <w:tcPr>
            <w:tcW w:type="dxa" w:w="1152"/>
          </w:tcPr>
          <w:p>
            <w:pPr>
              <w:jc w:val="center"/>
            </w:pPr>
            <w:r/>
            <w:r>
              <w:rPr>
                <w:rFonts w:ascii="Times New Roman" w:hAnsi="Times New Roman"/>
                <w:sz w:val="18"/>
              </w:rPr>
              <w:t>24.3</w:t>
            </w:r>
          </w:p>
        </w:tc>
        <w:tc>
          <w:tcPr>
            <w:tcW w:type="dxa" w:w="864"/>
          </w:tcPr>
          <w:p>
            <w:pPr>
              <w:jc w:val="center"/>
            </w:pPr>
            <w:r/>
            <w:r>
              <w:rPr>
                <w:rFonts w:ascii="Times New Roman" w:hAnsi="Times New Roman"/>
                <w:sz w:val="18"/>
              </w:rPr>
              <w:t>0.655</w:t>
            </w:r>
          </w:p>
        </w:tc>
        <w:tc>
          <w:tcPr>
            <w:tcW w:type="dxa" w:w="720"/>
          </w:tcPr>
          <w:p>
            <w:pPr>
              <w:jc w:val="center"/>
            </w:pPr>
            <w:r/>
            <w:r>
              <w:rPr>
                <w:rFonts w:ascii="Times New Roman" w:hAnsi="Times New Roman"/>
                <w:sz w:val="18"/>
              </w:rPr>
              <w:t>No</w:t>
            </w:r>
          </w:p>
        </w:tc>
      </w:tr>
      <w:tr>
        <w:tc>
          <w:tcPr>
            <w:tcW w:type="dxa" w:w="2304"/>
          </w:tcPr>
          <w:p>
            <w:pPr>
              <w:jc w:val="left"/>
            </w:pPr>
            <w:r/>
            <w:r>
              <w:rPr>
                <w:rFonts w:ascii="Times New Roman" w:hAnsi="Times New Roman"/>
                <w:sz w:val="18"/>
              </w:rPr>
              <w:t>RL – CQL (this work)</w:t>
            </w:r>
          </w:p>
        </w:tc>
        <w:tc>
          <w:tcPr>
            <w:tcW w:type="dxa" w:w="1008"/>
          </w:tcPr>
          <w:p>
            <w:pPr>
              <w:jc w:val="center"/>
            </w:pPr>
            <w:r/>
            <w:r>
              <w:rPr>
                <w:rFonts w:ascii="Times New Roman" w:hAnsi="Times New Roman"/>
                <w:sz w:val="18"/>
              </w:rPr>
              <w:t>−3.550</w:t>
            </w:r>
          </w:p>
        </w:tc>
        <w:tc>
          <w:tcPr>
            <w:tcW w:type="dxa" w:w="864"/>
          </w:tcPr>
          <w:p>
            <w:pPr>
              <w:jc w:val="center"/>
            </w:pPr>
            <w:r/>
            <w:r>
              <w:rPr>
                <w:rFonts w:ascii="Times New Roman" w:hAnsi="Times New Roman"/>
                <w:sz w:val="18"/>
              </w:rPr>
              <w:t>1.354</w:t>
            </w:r>
          </w:p>
        </w:tc>
        <w:tc>
          <w:tcPr>
            <w:tcW w:type="dxa" w:w="1008"/>
          </w:tcPr>
          <w:p>
            <w:pPr>
              <w:jc w:val="center"/>
            </w:pPr>
            <w:r/>
            <w:r>
              <w:rPr>
                <w:rFonts w:ascii="Times New Roman" w:hAnsi="Times New Roman"/>
                <w:sz w:val="18"/>
              </w:rPr>
              <w:t>99.9%</w:t>
            </w:r>
          </w:p>
        </w:tc>
        <w:tc>
          <w:tcPr>
            <w:tcW w:type="dxa" w:w="720"/>
          </w:tcPr>
          <w:p>
            <w:pPr>
              <w:jc w:val="center"/>
            </w:pPr>
            <w:r/>
            <w:r>
              <w:rPr>
                <w:rFonts w:ascii="Times New Roman" w:hAnsi="Times New Roman"/>
                <w:sz w:val="18"/>
              </w:rPr>
              <w:t>1.24</w:t>
            </w:r>
          </w:p>
        </w:tc>
        <w:tc>
          <w:tcPr>
            <w:tcW w:type="dxa" w:w="1152"/>
          </w:tcPr>
          <w:p>
            <w:pPr>
              <w:jc w:val="center"/>
            </w:pPr>
            <w:r/>
            <w:r>
              <w:rPr>
                <w:rFonts w:ascii="Times New Roman" w:hAnsi="Times New Roman"/>
                <w:sz w:val="18"/>
              </w:rPr>
              <w:t>23.2</w:t>
            </w:r>
          </w:p>
        </w:tc>
        <w:tc>
          <w:tcPr>
            <w:tcW w:type="dxa" w:w="864"/>
          </w:tcPr>
          <w:p>
            <w:pPr>
              <w:jc w:val="center"/>
            </w:pPr>
            <w:r/>
            <w:r>
              <w:rPr>
                <w:rFonts w:ascii="Times New Roman" w:hAnsi="Times New Roman"/>
                <w:sz w:val="18"/>
              </w:rPr>
              <w:t>0.000</w:t>
            </w:r>
          </w:p>
        </w:tc>
        <w:tc>
          <w:tcPr>
            <w:tcW w:type="dxa" w:w="720"/>
          </w:tcPr>
          <w:p>
            <w:pPr>
              <w:jc w:val="center"/>
            </w:pPr>
            <w:r/>
            <w:r>
              <w:rPr>
                <w:rFonts w:ascii="Times New Roman" w:hAnsi="Times New Roman"/>
                <w:sz w:val="18"/>
              </w:rPr>
              <w:t>Yes</w:t>
            </w:r>
          </w:p>
        </w:tc>
      </w:tr>
    </w:tbl>
    <w:p>
      <w:pPr>
        <w:spacing w:after="80"/>
      </w:pPr>
    </w:p>
    <w:p>
      <w:pPr>
        <w:spacing w:after="240" w:before="0"/>
      </w:pPr>
      <w:r>
        <w:rPr>
          <w:rFonts w:ascii="Times New Roman" w:hAnsi="Times New Roman"/>
          <w:b w:val="0"/>
          <w:i/>
          <w:sz w:val="18"/>
        </w:rPr>
        <w:t>* Passes the support threshold but is numerically unstable (see §V-A and §VII); not treated as a reliable comparison point. "Trust." = whether the FQE estimate is trustworthy under the ≥0.5 support-fraction criterion of §III-H. All values computed on the 2,445-transition / 1,024-trajectory test split.</w:t>
      </w:r>
    </w:p>
    <w:p>
      <w:pPr>
        <w:spacing w:after="120" w:before="0"/>
        <w:ind w:firstLine="288"/>
        <w:jc w:val="both"/>
      </w:pPr>
      <w:r>
        <w:rPr>
          <w:rFonts w:ascii="Times New Roman" w:hAnsi="Times New Roman"/>
          <w:b w:val="0"/>
          <w:i w:val="0"/>
          <w:sz w:val="22"/>
        </w:rPr>
        <w:t>The effective sample size for every trustworthy policy in Table VI falls between 1.0 and 1.26 out of 1,024 test trajectories, confirming quantitatively what §III-A established structurally: because the behavior policy is close to deterministic given age band, essentially all statistical weight in a weighted-importance-sampling estimate concentrates on a single effective trajectory, and WIS and per-decision WIS values computed alongside FQE should accordingly be read as uninformative rather than as a corroborating estimate. This is not a limitation specific to Conservative Q-Learning or to this dataset's particular parameterization; it is a direct, measurable consequence of the positivity violation described in §III-A, and it means that no single-run importance-sampling comparison in this regime should be reported as a ranking without the accompanying ESS diagnostic.</w:t>
      </w:r>
    </w:p>
    <w:p>
      <w:pPr>
        <w:spacing w:before="200" w:after="80"/>
      </w:pPr>
      <w:r>
        <w:rPr>
          <w:rFonts w:ascii="Times New Roman" w:hAnsi="Times New Roman"/>
          <w:b/>
          <w:i/>
          <w:sz w:val="22"/>
        </w:rPr>
        <w:t>B. Recall Decision Requires Image Content</w:t>
      </w:r>
    </w:p>
    <w:p>
      <w:pPr>
        <w:spacing w:after="120" w:before="0"/>
        <w:ind w:firstLine="288"/>
        <w:jc w:val="both"/>
      </w:pPr>
      <w:r>
        <w:rPr>
          <w:rFonts w:ascii="Times New Roman" w:hAnsi="Times New Roman"/>
          <w:b w:val="0"/>
          <w:i w:val="0"/>
          <w:sz w:val="22"/>
        </w:rPr>
        <w:t>The learned policy's recall-decision sensitivity on the test split is 0.0, against the clinicians' own observed sensitivity of 0.759 for the same task. This is an expected consequence of the state representation available to this study, not a failure of the offline RL algorithm: whether a given mammogram already contains a cancer is a property of the image itself, and no combination of breast density, screening history, or prior recall pattern in the 29-dimensional tabular state can substitute for that visual signal. Notably, although the network's greedy action essentially never triggers a recall at this operating threshold, the underlying Q-value margin nonetheless achieves a respectable ROC-AUC of 0.770 for discriminating exams with a screen-detectable cancer, indicating that tabular density and history features do carry some real, if operationally insufficient, recall-relevant signal even without image content. This gap is, in effect, a direct measurement of the value the mammogram image carries beyond what tabular metadata alone provides, and it is the reason every baseline policy in §IV holds its recall decision fixed at the clinically observed rate: comparing interval policies on equal footing requires isolating the interval decision from a recall decision this study is not yet equipped to learn.</w:t>
      </w:r>
    </w:p>
    <w:p>
      <w:pPr>
        <w:spacing w:before="200" w:after="80"/>
      </w:pPr>
      <w:r>
        <w:rPr>
          <w:rFonts w:ascii="Times New Roman" w:hAnsi="Times New Roman"/>
          <w:b/>
          <w:i/>
          <w:sz w:val="22"/>
        </w:rPr>
        <w:t>C. Simulator-Based Policy Ranking</w:t>
      </w:r>
    </w:p>
    <w:p>
      <w:pPr>
        <w:spacing w:after="120" w:before="0"/>
        <w:ind w:firstLine="288"/>
        <w:jc w:val="both"/>
      </w:pPr>
      <w:r>
        <w:rPr>
          <w:rFonts w:ascii="Times New Roman" w:hAnsi="Times New Roman"/>
          <w:b w:val="0"/>
          <w:i w:val="0"/>
          <w:sz w:val="22"/>
        </w:rPr>
        <w:t>Because the offline arm cannot support a ranking among screening intervals shorter than twelve months, and because its off-policy estimates for the intervals it does support are, per §V-A, statistically indistinguishable from one another, the calibrated natural-history simulator of §III-H (and §IV) provides the only ranking in this paper with usable statistical power. The calibration achieves a weighted target-mismatch loss of 0.0071 against all six empirical targets simultaneously (screen-detected fraction 0.693 against an observed 0.707; node-positive rate 0.208 versus 0.229 for screen-detected disease and 0.303 versus 0.341 for interval disease; large-tumor fraction 0.411 versus 0.408 for screen-detected disease and 0.519 versus 0.470 for interval disease; false-recall rate 0.017 versus 0.015), with an implied mean preclinical sojourn time of 2.50 years, within the range reported in the epidemiological literature.</w:t>
      </w:r>
    </w:p>
    <w:p>
      <w:pPr>
        <w:spacing w:after="120" w:before="0"/>
        <w:ind w:firstLine="288"/>
        <w:jc w:val="both"/>
      </w:pPr>
      <w:r>
        <w:rPr>
          <w:rFonts w:ascii="Times New Roman" w:hAnsi="Times New Roman"/>
          <w:b w:val="0"/>
          <w:i w:val="0"/>
          <w:sz w:val="22"/>
        </w:rPr>
        <w:t>Table VII reports the resulting dose-response relationship across five fixed screening intervals. Halving the screening interval from 24 to 12 months reduces the simulated interval-cancer rate from 27.7 to 14.2 per 1,000 screened women and reduces mean tumor size at detection from 21.0 mm to 12.6 mm; the same halving from 12 to 6 months yields a further reduction to 8.0 interval cancers per 1,000 and 8.2 mm mean size. This monotone dose-response, absent any positivity constraint, is precisely the causal relationship the offline data cannot supply on its own (§III-D), and its presence in the simulator — by construction, since the simulator explicitly encodes tumor growth over time — serves as an internal consistency check rather than an independent empirical finding.</w:t>
      </w:r>
    </w:p>
    <w:p>
      <w:pPr>
        <w:spacing w:after="0" w:before="200"/>
        <w:jc w:val="center"/>
      </w:pPr>
      <w:r>
        <w:rPr>
          <w:rFonts w:ascii="Times New Roman" w:hAnsi="Times New Roman"/>
          <w:b w:val="0"/>
          <w:i w:val="0"/>
          <w:sz w:val="20"/>
        </w:rPr>
        <w:t>TABLE VII</w:t>
      </w:r>
    </w:p>
    <w:p>
      <w:pPr>
        <w:spacing w:after="80" w:before="0"/>
        <w:jc w:val="center"/>
      </w:pPr>
      <w:r>
        <w:rPr>
          <w:rFonts w:ascii="Times New Roman" w:hAnsi="Times New Roman"/>
          <w:b w:val="0"/>
          <w:i w:val="0"/>
          <w:sz w:val="20"/>
        </w:rPr>
        <w:t>SIMULATOR DOSE-RESPONSE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D9D9D9"/>
          </w:tcPr>
          <w:p>
            <w:pPr>
              <w:jc w:val="center"/>
            </w:pPr>
            <w:r/>
            <w:r>
              <w:rPr>
                <w:rFonts w:ascii="Times New Roman" w:hAnsi="Times New Roman"/>
                <w:b/>
                <w:sz w:val="18"/>
              </w:rPr>
              <w:t>Policy</w:t>
            </w:r>
          </w:p>
        </w:tc>
        <w:tc>
          <w:tcPr>
            <w:tcW w:type="dxa" w:w="1152"/>
            <w:shd w:val="clear" w:color="auto" w:fill="D9D9D9"/>
          </w:tcPr>
          <w:p>
            <w:pPr>
              <w:jc w:val="center"/>
            </w:pPr>
            <w:r/>
            <w:r>
              <w:rPr>
                <w:rFonts w:ascii="Times New Roman" w:hAnsi="Times New Roman"/>
                <w:b/>
                <w:sz w:val="18"/>
              </w:rPr>
              <w:t>Value</w:t>
            </w:r>
          </w:p>
        </w:tc>
        <w:tc>
          <w:tcPr>
            <w:tcW w:type="dxa" w:w="1440"/>
            <w:shd w:val="clear" w:color="auto" w:fill="D9D9D9"/>
          </w:tcPr>
          <w:p>
            <w:pPr>
              <w:jc w:val="center"/>
            </w:pPr>
            <w:r/>
            <w:r>
              <w:rPr>
                <w:rFonts w:ascii="Times New Roman" w:hAnsi="Times New Roman"/>
                <w:b/>
                <w:sz w:val="18"/>
              </w:rPr>
              <w:t>Screens/decade</w:t>
            </w:r>
          </w:p>
        </w:tc>
        <w:tc>
          <w:tcPr>
            <w:tcW w:type="dxa" w:w="1584"/>
            <w:shd w:val="clear" w:color="auto" w:fill="D9D9D9"/>
          </w:tcPr>
          <w:p>
            <w:pPr>
              <w:jc w:val="center"/>
            </w:pPr>
            <w:r/>
            <w:r>
              <w:rPr>
                <w:rFonts w:ascii="Times New Roman" w:hAnsi="Times New Roman"/>
                <w:b/>
                <w:sz w:val="18"/>
              </w:rPr>
              <w:t>Interval Ca/1000</w:t>
            </w:r>
          </w:p>
        </w:tc>
        <w:tc>
          <w:tcPr>
            <w:tcW w:type="dxa" w:w="1584"/>
            <w:shd w:val="clear" w:color="auto" w:fill="D9D9D9"/>
          </w:tcPr>
          <w:p>
            <w:pPr>
              <w:jc w:val="center"/>
            </w:pPr>
            <w:r/>
            <w:r>
              <w:rPr>
                <w:rFonts w:ascii="Times New Roman" w:hAnsi="Times New Roman"/>
                <w:b/>
                <w:sz w:val="18"/>
              </w:rPr>
              <w:t>Mean size (mm)</w:t>
            </w:r>
          </w:p>
        </w:tc>
        <w:tc>
          <w:tcPr>
            <w:tcW w:type="dxa" w:w="1152"/>
            <w:shd w:val="clear" w:color="auto" w:fill="D9D9D9"/>
          </w:tcPr>
          <w:p>
            <w:pPr>
              <w:jc w:val="center"/>
            </w:pPr>
            <w:r/>
            <w:r>
              <w:rPr>
                <w:rFonts w:ascii="Times New Roman" w:hAnsi="Times New Roman"/>
                <w:b/>
                <w:sz w:val="18"/>
              </w:rPr>
              <w:t>Node+ rate</w:t>
            </w:r>
          </w:p>
        </w:tc>
      </w:tr>
      <w:tr>
        <w:tc>
          <w:tcPr>
            <w:tcW w:type="dxa" w:w="2160"/>
          </w:tcPr>
          <w:p>
            <w:pPr>
              <w:jc w:val="left"/>
            </w:pPr>
            <w:r/>
            <w:r>
              <w:rPr>
                <w:rFonts w:ascii="Times New Roman" w:hAnsi="Times New Roman"/>
                <w:sz w:val="18"/>
              </w:rPr>
              <w:t>6 months</w:t>
            </w:r>
          </w:p>
        </w:tc>
        <w:tc>
          <w:tcPr>
            <w:tcW w:type="dxa" w:w="1152"/>
          </w:tcPr>
          <w:p>
            <w:pPr>
              <w:jc w:val="center"/>
            </w:pPr>
            <w:r/>
            <w:r>
              <w:rPr>
                <w:rFonts w:ascii="Times New Roman" w:hAnsi="Times New Roman"/>
                <w:sz w:val="18"/>
              </w:rPr>
              <w:t>−0.1389</w:t>
            </w:r>
          </w:p>
        </w:tc>
        <w:tc>
          <w:tcPr>
            <w:tcW w:type="dxa" w:w="1440"/>
          </w:tcPr>
          <w:p>
            <w:pPr>
              <w:jc w:val="center"/>
            </w:pPr>
            <w:r/>
            <w:r>
              <w:rPr>
                <w:rFonts w:ascii="Times New Roman" w:hAnsi="Times New Roman"/>
                <w:sz w:val="18"/>
              </w:rPr>
              <w:t>17.3</w:t>
            </w:r>
          </w:p>
        </w:tc>
        <w:tc>
          <w:tcPr>
            <w:tcW w:type="dxa" w:w="1584"/>
          </w:tcPr>
          <w:p>
            <w:pPr>
              <w:jc w:val="center"/>
            </w:pPr>
            <w:r/>
            <w:r>
              <w:rPr>
                <w:rFonts w:ascii="Times New Roman" w:hAnsi="Times New Roman"/>
                <w:sz w:val="18"/>
              </w:rPr>
              <w:t>8.0</w:t>
            </w:r>
          </w:p>
        </w:tc>
        <w:tc>
          <w:tcPr>
            <w:tcW w:type="dxa" w:w="1584"/>
          </w:tcPr>
          <w:p>
            <w:pPr>
              <w:jc w:val="center"/>
            </w:pPr>
            <w:r/>
            <w:r>
              <w:rPr>
                <w:rFonts w:ascii="Times New Roman" w:hAnsi="Times New Roman"/>
                <w:sz w:val="18"/>
              </w:rPr>
              <w:t>8.2</w:t>
            </w:r>
          </w:p>
        </w:tc>
        <w:tc>
          <w:tcPr>
            <w:tcW w:type="dxa" w:w="1152"/>
          </w:tcPr>
          <w:p>
            <w:pPr>
              <w:jc w:val="center"/>
            </w:pPr>
            <w:r/>
            <w:r>
              <w:rPr>
                <w:rFonts w:ascii="Times New Roman" w:hAnsi="Times New Roman"/>
                <w:sz w:val="18"/>
              </w:rPr>
              <w:t>0.142</w:t>
            </w:r>
          </w:p>
        </w:tc>
      </w:tr>
      <w:tr>
        <w:tc>
          <w:tcPr>
            <w:tcW w:type="dxa" w:w="2160"/>
          </w:tcPr>
          <w:p>
            <w:pPr>
              <w:jc w:val="left"/>
            </w:pPr>
            <w:r/>
            <w:r>
              <w:rPr>
                <w:rFonts w:ascii="Times New Roman" w:hAnsi="Times New Roman"/>
                <w:sz w:val="18"/>
              </w:rPr>
              <w:t>12 months</w:t>
            </w:r>
          </w:p>
        </w:tc>
        <w:tc>
          <w:tcPr>
            <w:tcW w:type="dxa" w:w="1152"/>
          </w:tcPr>
          <w:p>
            <w:pPr>
              <w:jc w:val="center"/>
            </w:pPr>
            <w:r/>
            <w:r>
              <w:rPr>
                <w:rFonts w:ascii="Times New Roman" w:hAnsi="Times New Roman"/>
                <w:sz w:val="18"/>
              </w:rPr>
              <w:t>−0.1525</w:t>
            </w:r>
          </w:p>
        </w:tc>
        <w:tc>
          <w:tcPr>
            <w:tcW w:type="dxa" w:w="1440"/>
          </w:tcPr>
          <w:p>
            <w:pPr>
              <w:jc w:val="center"/>
            </w:pPr>
            <w:r/>
            <w:r>
              <w:rPr>
                <w:rFonts w:ascii="Times New Roman" w:hAnsi="Times New Roman"/>
                <w:sz w:val="18"/>
              </w:rPr>
              <w:t>8.7</w:t>
            </w:r>
          </w:p>
        </w:tc>
        <w:tc>
          <w:tcPr>
            <w:tcW w:type="dxa" w:w="1584"/>
          </w:tcPr>
          <w:p>
            <w:pPr>
              <w:jc w:val="center"/>
            </w:pPr>
            <w:r/>
            <w:r>
              <w:rPr>
                <w:rFonts w:ascii="Times New Roman" w:hAnsi="Times New Roman"/>
                <w:sz w:val="18"/>
              </w:rPr>
              <w:t>14.2</w:t>
            </w:r>
          </w:p>
        </w:tc>
        <w:tc>
          <w:tcPr>
            <w:tcW w:type="dxa" w:w="1584"/>
          </w:tcPr>
          <w:p>
            <w:pPr>
              <w:jc w:val="center"/>
            </w:pPr>
            <w:r/>
            <w:r>
              <w:rPr>
                <w:rFonts w:ascii="Times New Roman" w:hAnsi="Times New Roman"/>
                <w:sz w:val="18"/>
              </w:rPr>
              <w:t>12.6</w:t>
            </w:r>
          </w:p>
        </w:tc>
        <w:tc>
          <w:tcPr>
            <w:tcW w:type="dxa" w:w="1152"/>
          </w:tcPr>
          <w:p>
            <w:pPr>
              <w:jc w:val="center"/>
            </w:pPr>
            <w:r/>
            <w:r>
              <w:rPr>
                <w:rFonts w:ascii="Times New Roman" w:hAnsi="Times New Roman"/>
                <w:sz w:val="18"/>
              </w:rPr>
              <w:t>0.187</w:t>
            </w:r>
          </w:p>
        </w:tc>
      </w:tr>
      <w:tr>
        <w:tc>
          <w:tcPr>
            <w:tcW w:type="dxa" w:w="2160"/>
          </w:tcPr>
          <w:p>
            <w:pPr>
              <w:jc w:val="left"/>
            </w:pPr>
            <w:r/>
            <w:r>
              <w:rPr>
                <w:rFonts w:ascii="Times New Roman" w:hAnsi="Times New Roman"/>
                <w:sz w:val="18"/>
              </w:rPr>
              <w:t>18 months</w:t>
            </w:r>
          </w:p>
        </w:tc>
        <w:tc>
          <w:tcPr>
            <w:tcW w:type="dxa" w:w="1152"/>
          </w:tcPr>
          <w:p>
            <w:pPr>
              <w:jc w:val="center"/>
            </w:pPr>
            <w:r/>
            <w:r>
              <w:rPr>
                <w:rFonts w:ascii="Times New Roman" w:hAnsi="Times New Roman"/>
                <w:sz w:val="18"/>
              </w:rPr>
              <w:t>−0.1656</w:t>
            </w:r>
          </w:p>
        </w:tc>
        <w:tc>
          <w:tcPr>
            <w:tcW w:type="dxa" w:w="1440"/>
          </w:tcPr>
          <w:p>
            <w:pPr>
              <w:jc w:val="center"/>
            </w:pPr>
            <w:r/>
            <w:r>
              <w:rPr>
                <w:rFonts w:ascii="Times New Roman" w:hAnsi="Times New Roman"/>
                <w:sz w:val="18"/>
              </w:rPr>
              <w:t>5.8</w:t>
            </w:r>
          </w:p>
        </w:tc>
        <w:tc>
          <w:tcPr>
            <w:tcW w:type="dxa" w:w="1584"/>
          </w:tcPr>
          <w:p>
            <w:pPr>
              <w:jc w:val="center"/>
            </w:pPr>
            <w:r/>
            <w:r>
              <w:rPr>
                <w:rFonts w:ascii="Times New Roman" w:hAnsi="Times New Roman"/>
                <w:sz w:val="18"/>
              </w:rPr>
              <w:t>21.2</w:t>
            </w:r>
          </w:p>
        </w:tc>
        <w:tc>
          <w:tcPr>
            <w:tcW w:type="dxa" w:w="1584"/>
          </w:tcPr>
          <w:p>
            <w:pPr>
              <w:jc w:val="center"/>
            </w:pPr>
            <w:r/>
            <w:r>
              <w:rPr>
                <w:rFonts w:ascii="Times New Roman" w:hAnsi="Times New Roman"/>
                <w:sz w:val="18"/>
              </w:rPr>
              <w:t>16.8</w:t>
            </w:r>
          </w:p>
        </w:tc>
        <w:tc>
          <w:tcPr>
            <w:tcW w:type="dxa" w:w="1152"/>
          </w:tcPr>
          <w:p>
            <w:pPr>
              <w:jc w:val="center"/>
            </w:pPr>
            <w:r/>
            <w:r>
              <w:rPr>
                <w:rFonts w:ascii="Times New Roman" w:hAnsi="Times New Roman"/>
                <w:sz w:val="18"/>
              </w:rPr>
              <w:t>0.224</w:t>
            </w:r>
          </w:p>
        </w:tc>
      </w:tr>
      <w:tr>
        <w:tc>
          <w:tcPr>
            <w:tcW w:type="dxa" w:w="2160"/>
          </w:tcPr>
          <w:p>
            <w:pPr>
              <w:jc w:val="left"/>
            </w:pPr>
            <w:r/>
            <w:r>
              <w:rPr>
                <w:rFonts w:ascii="Times New Roman" w:hAnsi="Times New Roman"/>
                <w:sz w:val="18"/>
              </w:rPr>
              <w:t>24 months</w:t>
            </w:r>
          </w:p>
        </w:tc>
        <w:tc>
          <w:tcPr>
            <w:tcW w:type="dxa" w:w="1152"/>
          </w:tcPr>
          <w:p>
            <w:pPr>
              <w:jc w:val="center"/>
            </w:pPr>
            <w:r/>
            <w:r>
              <w:rPr>
                <w:rFonts w:ascii="Times New Roman" w:hAnsi="Times New Roman"/>
                <w:sz w:val="18"/>
              </w:rPr>
              <w:t>−0.1689</w:t>
            </w:r>
          </w:p>
        </w:tc>
        <w:tc>
          <w:tcPr>
            <w:tcW w:type="dxa" w:w="1440"/>
          </w:tcPr>
          <w:p>
            <w:pPr>
              <w:jc w:val="center"/>
            </w:pPr>
            <w:r/>
            <w:r>
              <w:rPr>
                <w:rFonts w:ascii="Times New Roman" w:hAnsi="Times New Roman"/>
                <w:sz w:val="18"/>
              </w:rPr>
              <w:t>3.9</w:t>
            </w:r>
          </w:p>
        </w:tc>
        <w:tc>
          <w:tcPr>
            <w:tcW w:type="dxa" w:w="1584"/>
          </w:tcPr>
          <w:p>
            <w:pPr>
              <w:jc w:val="center"/>
            </w:pPr>
            <w:r/>
            <w:r>
              <w:rPr>
                <w:rFonts w:ascii="Times New Roman" w:hAnsi="Times New Roman"/>
                <w:sz w:val="18"/>
              </w:rPr>
              <w:t>27.7</w:t>
            </w:r>
          </w:p>
        </w:tc>
        <w:tc>
          <w:tcPr>
            <w:tcW w:type="dxa" w:w="1584"/>
          </w:tcPr>
          <w:p>
            <w:pPr>
              <w:jc w:val="center"/>
            </w:pPr>
            <w:r/>
            <w:r>
              <w:rPr>
                <w:rFonts w:ascii="Times New Roman" w:hAnsi="Times New Roman"/>
                <w:sz w:val="18"/>
              </w:rPr>
              <w:t>21.0</w:t>
            </w:r>
          </w:p>
        </w:tc>
        <w:tc>
          <w:tcPr>
            <w:tcW w:type="dxa" w:w="1152"/>
          </w:tcPr>
          <w:p>
            <w:pPr>
              <w:jc w:val="center"/>
            </w:pPr>
            <w:r/>
            <w:r>
              <w:rPr>
                <w:rFonts w:ascii="Times New Roman" w:hAnsi="Times New Roman"/>
                <w:sz w:val="18"/>
              </w:rPr>
              <w:t>0.256</w:t>
            </w:r>
          </w:p>
        </w:tc>
      </w:tr>
      <w:tr>
        <w:tc>
          <w:tcPr>
            <w:tcW w:type="dxa" w:w="2160"/>
          </w:tcPr>
          <w:p>
            <w:pPr>
              <w:jc w:val="left"/>
            </w:pPr>
            <w:r/>
            <w:r>
              <w:rPr>
                <w:rFonts w:ascii="Times New Roman" w:hAnsi="Times New Roman"/>
                <w:sz w:val="18"/>
              </w:rPr>
              <w:t>36 months</w:t>
            </w:r>
          </w:p>
        </w:tc>
        <w:tc>
          <w:tcPr>
            <w:tcW w:type="dxa" w:w="1152"/>
          </w:tcPr>
          <w:p>
            <w:pPr>
              <w:jc w:val="center"/>
            </w:pPr>
            <w:r/>
            <w:r>
              <w:rPr>
                <w:rFonts w:ascii="Times New Roman" w:hAnsi="Times New Roman"/>
                <w:sz w:val="18"/>
              </w:rPr>
              <w:t>−0.1977</w:t>
            </w:r>
          </w:p>
        </w:tc>
        <w:tc>
          <w:tcPr>
            <w:tcW w:type="dxa" w:w="1440"/>
          </w:tcPr>
          <w:p>
            <w:pPr>
              <w:jc w:val="center"/>
            </w:pPr>
            <w:r/>
            <w:r>
              <w:rPr>
                <w:rFonts w:ascii="Times New Roman" w:hAnsi="Times New Roman"/>
                <w:sz w:val="18"/>
              </w:rPr>
              <w:t>2.9</w:t>
            </w:r>
          </w:p>
        </w:tc>
        <w:tc>
          <w:tcPr>
            <w:tcW w:type="dxa" w:w="1584"/>
          </w:tcPr>
          <w:p>
            <w:pPr>
              <w:jc w:val="center"/>
            </w:pPr>
            <w:r/>
            <w:r>
              <w:rPr>
                <w:rFonts w:ascii="Times New Roman" w:hAnsi="Times New Roman"/>
                <w:sz w:val="18"/>
              </w:rPr>
              <w:t>38.3</w:t>
            </w:r>
          </w:p>
        </w:tc>
        <w:tc>
          <w:tcPr>
            <w:tcW w:type="dxa" w:w="1584"/>
          </w:tcPr>
          <w:p>
            <w:pPr>
              <w:jc w:val="center"/>
            </w:pPr>
            <w:r/>
            <w:r>
              <w:rPr>
                <w:rFonts w:ascii="Times New Roman" w:hAnsi="Times New Roman"/>
                <w:sz w:val="18"/>
              </w:rPr>
              <w:t>28.5</w:t>
            </w:r>
          </w:p>
        </w:tc>
        <w:tc>
          <w:tcPr>
            <w:tcW w:type="dxa" w:w="1152"/>
          </w:tcPr>
          <w:p>
            <w:pPr>
              <w:jc w:val="center"/>
            </w:pPr>
            <w:r/>
            <w:r>
              <w:rPr>
                <w:rFonts w:ascii="Times New Roman" w:hAnsi="Times New Roman"/>
                <w:sz w:val="18"/>
              </w:rPr>
              <w:t>0.285</w:t>
            </w:r>
          </w:p>
        </w:tc>
      </w:tr>
      <w:tr>
        <w:tc>
          <w:tcPr>
            <w:tcW w:type="dxa" w:w="2160"/>
          </w:tcPr>
          <w:p>
            <w:pPr>
              <w:jc w:val="left"/>
            </w:pPr>
            <w:r/>
            <w:r>
              <w:rPr>
                <w:rFonts w:ascii="Times New Roman" w:hAnsi="Times New Roman"/>
                <w:sz w:val="18"/>
              </w:rPr>
              <w:t>Standard of care</w:t>
            </w:r>
          </w:p>
        </w:tc>
        <w:tc>
          <w:tcPr>
            <w:tcW w:type="dxa" w:w="1152"/>
          </w:tcPr>
          <w:p>
            <w:pPr>
              <w:jc w:val="center"/>
            </w:pPr>
            <w:r/>
            <w:r>
              <w:rPr>
                <w:rFonts w:ascii="Times New Roman" w:hAnsi="Times New Roman"/>
                <w:sz w:val="18"/>
              </w:rPr>
              <w:t>−0.1668</w:t>
            </w:r>
          </w:p>
        </w:tc>
        <w:tc>
          <w:tcPr>
            <w:tcW w:type="dxa" w:w="1440"/>
          </w:tcPr>
          <w:p>
            <w:pPr>
              <w:jc w:val="center"/>
            </w:pPr>
            <w:r/>
            <w:r>
              <w:rPr>
                <w:rFonts w:ascii="Times New Roman" w:hAnsi="Times New Roman"/>
                <w:sz w:val="18"/>
              </w:rPr>
              <w:t>4.9</w:t>
            </w:r>
          </w:p>
        </w:tc>
        <w:tc>
          <w:tcPr>
            <w:tcW w:type="dxa" w:w="1584"/>
          </w:tcPr>
          <w:p>
            <w:pPr>
              <w:jc w:val="center"/>
            </w:pPr>
            <w:r/>
            <w:r>
              <w:rPr>
                <w:rFonts w:ascii="Times New Roman" w:hAnsi="Times New Roman"/>
                <w:sz w:val="18"/>
              </w:rPr>
              <w:t>23.8</w:t>
            </w:r>
          </w:p>
        </w:tc>
        <w:tc>
          <w:tcPr>
            <w:tcW w:type="dxa" w:w="1584"/>
          </w:tcPr>
          <w:p>
            <w:pPr>
              <w:jc w:val="center"/>
            </w:pPr>
            <w:r/>
            <w:r>
              <w:rPr>
                <w:rFonts w:ascii="Times New Roman" w:hAnsi="Times New Roman"/>
                <w:sz w:val="18"/>
              </w:rPr>
              <w:t>18.8</w:t>
            </w:r>
          </w:p>
        </w:tc>
        <w:tc>
          <w:tcPr>
            <w:tcW w:type="dxa" w:w="1152"/>
          </w:tcPr>
          <w:p>
            <w:pPr>
              <w:jc w:val="center"/>
            </w:pPr>
            <w:r/>
            <w:r>
              <w:rPr>
                <w:rFonts w:ascii="Times New Roman" w:hAnsi="Times New Roman"/>
                <w:sz w:val="18"/>
              </w:rPr>
              <w:t>0.229</w:t>
            </w:r>
          </w:p>
        </w:tc>
      </w:tr>
      <w:tr>
        <w:tc>
          <w:tcPr>
            <w:tcW w:type="dxa" w:w="2160"/>
          </w:tcPr>
          <w:p>
            <w:pPr>
              <w:jc w:val="left"/>
            </w:pPr>
            <w:r/>
            <w:r>
              <w:rPr>
                <w:rFonts w:ascii="Times New Roman" w:hAnsi="Times New Roman"/>
                <w:sz w:val="18"/>
              </w:rPr>
              <w:t>Density-adaptive</w:t>
            </w:r>
          </w:p>
        </w:tc>
        <w:tc>
          <w:tcPr>
            <w:tcW w:type="dxa" w:w="1152"/>
          </w:tcPr>
          <w:p>
            <w:pPr>
              <w:jc w:val="center"/>
            </w:pPr>
            <w:r/>
            <w:r>
              <w:rPr>
                <w:rFonts w:ascii="Times New Roman" w:hAnsi="Times New Roman"/>
                <w:sz w:val="18"/>
              </w:rPr>
              <w:t>−0.1657</w:t>
            </w:r>
          </w:p>
        </w:tc>
        <w:tc>
          <w:tcPr>
            <w:tcW w:type="dxa" w:w="1440"/>
          </w:tcPr>
          <w:p>
            <w:pPr>
              <w:jc w:val="center"/>
            </w:pPr>
            <w:r/>
            <w:r>
              <w:rPr>
                <w:rFonts w:ascii="Times New Roman" w:hAnsi="Times New Roman"/>
                <w:sz w:val="18"/>
              </w:rPr>
              <w:t>5.1</w:t>
            </w:r>
          </w:p>
        </w:tc>
        <w:tc>
          <w:tcPr>
            <w:tcW w:type="dxa" w:w="1584"/>
          </w:tcPr>
          <w:p>
            <w:pPr>
              <w:jc w:val="center"/>
            </w:pPr>
            <w:r/>
            <w:r>
              <w:rPr>
                <w:rFonts w:ascii="Times New Roman" w:hAnsi="Times New Roman"/>
                <w:sz w:val="18"/>
              </w:rPr>
              <w:t>24.7</w:t>
            </w:r>
          </w:p>
        </w:tc>
        <w:tc>
          <w:tcPr>
            <w:tcW w:type="dxa" w:w="1584"/>
          </w:tcPr>
          <w:p>
            <w:pPr>
              <w:jc w:val="center"/>
            </w:pPr>
            <w:r/>
            <w:r>
              <w:rPr>
                <w:rFonts w:ascii="Times New Roman" w:hAnsi="Times New Roman"/>
                <w:sz w:val="18"/>
              </w:rPr>
              <w:t>18.5</w:t>
            </w:r>
          </w:p>
        </w:tc>
        <w:tc>
          <w:tcPr>
            <w:tcW w:type="dxa" w:w="1152"/>
          </w:tcPr>
          <w:p>
            <w:pPr>
              <w:jc w:val="center"/>
            </w:pPr>
            <w:r/>
            <w:r>
              <w:rPr>
                <w:rFonts w:ascii="Times New Roman" w:hAnsi="Times New Roman"/>
                <w:sz w:val="18"/>
              </w:rPr>
              <w:t>0.236</w:t>
            </w:r>
          </w:p>
        </w:tc>
      </w:tr>
    </w:tbl>
    <w:p>
      <w:pPr>
        <w:spacing w:after="80"/>
      </w:pPr>
    </w:p>
    <w:p>
      <w:pPr>
        <w:spacing w:after="240" w:before="0"/>
      </w:pPr>
      <w:r>
        <w:rPr>
          <w:rFonts w:ascii="Times New Roman" w:hAnsi="Times New Roman"/>
          <w:b w:val="0"/>
          <w:i/>
          <w:sz w:val="18"/>
        </w:rPr>
        <w:t>"Value" is mean simulated return (QALY-equivalent, negative = cost) at c_e = 0.001. All rows from a population of 15,000 simulated women per policy, three replicate seeds.</w:t>
      </w:r>
    </w:p>
    <w:p>
      <w:pPr>
        <w:spacing w:after="120" w:before="0"/>
        <w:ind w:firstLine="288"/>
        <w:jc w:val="both"/>
      </w:pPr>
      <w:r>
        <w:rPr>
          <w:rFonts w:ascii="Times New Roman" w:hAnsi="Times New Roman"/>
          <w:b w:val="0"/>
          <w:i w:val="0"/>
          <w:sz w:val="22"/>
        </w:rPr>
        <w:t>Critically, however, which interval the simulator identifies as optimal is not itself robust: it depends almost entirely on the assumed per-exam disutility c_e (§III-C.4). Sweeping c_e from 0.0002 to 0.01 QALY — equivalently, from roughly seventeen minutes to three and a half days of perfect health per mammogram — shifts the simulator's optimal policy from six months at the lower end of this range to twenty-four months at the upper end, with the switch occurring between c_e = 0.002 and c_e = 0.005. Because this parameter is, as noted in §III-C.4, a provisional placeholder pending a formal health-utility citation, this paper reports the threshold relationship itself, rather than any single optimal interval, as its principal simulator-derived finding.</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6 placeholder ]</w:t>
            </w:r>
          </w:p>
        </w:tc>
      </w:tr>
    </w:tbl>
    <w:p>
      <w:pPr>
        <w:spacing w:after="280" w:before="80"/>
        <w:jc w:val="center"/>
      </w:pPr>
      <w:r>
        <w:rPr>
          <w:rFonts w:ascii="Times New Roman" w:hAnsi="Times New Roman"/>
          <w:b w:val="0"/>
          <w:i w:val="0"/>
          <w:sz w:val="20"/>
        </w:rPr>
        <w:t>Fig. 6. Reward calculation at a single transition, showing the exam cost, false-positive cost, and stage-dependent diagnosis cost combining into the scalar reward.</w:t>
      </w:r>
    </w:p>
    <w:tbl>
      <w:tblPr>
        <w:tblW w:type="auto" w:w="0"/>
        <w:jc w:val="center"/>
        <w:tblLook w:firstColumn="1" w:firstRow="1" w:lastColumn="0" w:lastRow="0" w:noHBand="0" w:noVBand="1" w:val="04A0"/>
      </w:tblPr>
      <w:tblGrid>
        <w:gridCol w:w="9360"/>
      </w:tblGrid>
      <w:tr>
        <w:tc>
          <w:tcPr>
            <w:tcW w:type="dxa" w:w="7920"/>
            <w:shd w:val="clear" w:color="auto" w:fill="F2F2F2"/>
          </w:tcPr>
          <w:p>
            <w:pPr>
              <w:spacing w:before="1000" w:after="1000"/>
              <w:jc w:val="center"/>
            </w:pPr>
            <w:r>
              <w:rPr>
                <w:i/>
                <w:color w:val="808080"/>
                <w:sz w:val="22"/>
              </w:rPr>
              <w:t>[ Figure 8 placeholder ]</w:t>
            </w:r>
          </w:p>
        </w:tc>
      </w:tr>
    </w:tbl>
    <w:p>
      <w:pPr>
        <w:spacing w:after="280" w:before="80"/>
        <w:jc w:val="center"/>
      </w:pPr>
      <w:r>
        <w:rPr>
          <w:rFonts w:ascii="Times New Roman" w:hAnsi="Times New Roman"/>
          <w:b w:val="0"/>
          <w:i w:val="0"/>
          <w:sz w:val="20"/>
        </w:rPr>
        <w:t>Fig. 8. Illustrative personalized screening timeline comparing a fixed standard-of-care schedule against a data-informed personalized schedule for a single hypothetical patient trajectory.</w:t>
      </w:r>
    </w:p>
    <w:p>
      <w:pPr>
        <w:spacing w:after="160" w:before="320"/>
        <w:jc w:val="center"/>
      </w:pPr>
      <w:r>
        <w:rPr>
          <w:rFonts w:ascii="Times New Roman" w:hAnsi="Times New Roman"/>
          <w:b/>
          <w:i w:val="0"/>
          <w:sz w:val="24"/>
        </w:rPr>
        <w:t>VI. DISCUSSION</w:t>
      </w:r>
    </w:p>
    <w:p>
      <w:pPr>
        <w:spacing w:after="120" w:before="0"/>
        <w:ind w:firstLine="288"/>
        <w:jc w:val="both"/>
      </w:pPr>
      <w:r>
        <w:rPr>
          <w:rFonts w:ascii="Times New Roman" w:hAnsi="Times New Roman"/>
          <w:b w:val="0"/>
          <w:i w:val="0"/>
          <w:sz w:val="22"/>
        </w:rPr>
        <w:t>The central methodological argument of this paper is that offline reinforcement learning, precisely because it forecloses live experimentation, is the appropriate — and arguably the only ethically available — reinforcement learning framework for a screening-interval decision of this kind, but that this same constraint limits what can honestly be concluded from it. Online RL algorithms, which learn by acting in an environment and observing the consequences of their own exploratory choices, are not merely inconvenient here; they are inapplicable, because the "environment" is a population of real women, and any algorithm requiring exploratory interaction would need to assign some of them to screening intervals outside clinical guidelines to generate the very data it needs to learn from. Offline RL accepts a different, more defensible constraint: it commits to learning only from decisions clinicians actually made, and, when done carefully, it is explicit about the limits of what that commitment allows it to say. Conservative Q-Learning operationalizes this commitment directly, by construction preferring to underestimate rather than overestimate the value of any action, which is the conservative failure mode to prefer in a setting where an overclaim could motivate an unwarranted change in screening policy.</w:t>
      </w:r>
    </w:p>
    <w:p>
      <w:pPr>
        <w:spacing w:after="120" w:before="0"/>
        <w:ind w:firstLine="288"/>
        <w:jc w:val="both"/>
      </w:pPr>
      <w:r>
        <w:rPr>
          <w:rFonts w:ascii="Times New Roman" w:hAnsi="Times New Roman"/>
          <w:b w:val="0"/>
          <w:i w:val="0"/>
          <w:sz w:val="22"/>
        </w:rPr>
        <w:t>The multi-seed FQE and effective-sample-size results of §V-A are, in the authors' view, as important a contribution of this paper as the trained policy itself. It would have been straightforward to report a single off-policy evaluation run, observe that one baseline scored better than another, and present that gap as a finding; an earlier iteration of this project did exactly that, and reversed its own conclusion when the same estimator was refit with only a different random seed. The fact that this reversal was possible at all is the finding: when effective sample size collapses to nearly one trajectory, as it does throughout this dataset's test split, a single point estimate silently encodes almost no information about which policy is actually better, regardless of how confidently it can be quoted. Any offline reinforcement learning study built on similarly structured, near-deterministic behavior-policy data — which describes a great deal of retrospective clinical registry data, not only mammography screening — should treat a single-run importance-sampling comparison as provisional until its effective sample size has been checked, and this paper's explicit reporting of that diagnostic, rather than its suppression, is offered as a template for how such studies might be evaluated more cautiously going forward.</w:t>
      </w:r>
    </w:p>
    <w:p>
      <w:pPr>
        <w:spacing w:after="120" w:before="0"/>
        <w:ind w:firstLine="288"/>
        <w:jc w:val="both"/>
      </w:pPr>
      <w:r>
        <w:rPr>
          <w:rFonts w:ascii="Times New Roman" w:hAnsi="Times New Roman"/>
          <w:b w:val="0"/>
          <w:i w:val="0"/>
          <w:sz w:val="22"/>
        </w:rPr>
        <w:t>The simulator arm exists specifically to supply what the offline arm structurally cannot: a causal answer to the counterfactual question of what would happen at a screening interval nobody in the logged data ever received. That its calibrated dose-response relationship is monotone and clinically coherent is a necessary but not sufficient validation of the modeling choices behind it; the simulator's optimal policy is highly sensitive to a single provisional cost parameter, and this paper treats that sensitivity itself, rather than any single recommended interval, as the honest experimental output. This dual-arm design — an offline policy that is trustworthy exactly where the data supports it, paired with a simulator that is explicit about extrapolating beyond that support — is offered as a general pattern for studies facing this same positivity problem, rather than as a solution specific to breast cancer screening.</w:t>
      </w:r>
    </w:p>
    <w:p>
      <w:pPr>
        <w:spacing w:after="160" w:before="320"/>
        <w:jc w:val="center"/>
      </w:pPr>
      <w:r>
        <w:rPr>
          <w:rFonts w:ascii="Times New Roman" w:hAnsi="Times New Roman"/>
          <w:b/>
          <w:i w:val="0"/>
          <w:sz w:val="24"/>
        </w:rPr>
        <w:t>VII. LIMITATIONS</w:t>
      </w:r>
    </w:p>
    <w:p>
      <w:pPr>
        <w:spacing w:after="120" w:before="0"/>
        <w:ind w:firstLine="288"/>
        <w:jc w:val="both"/>
      </w:pPr>
      <w:r>
        <w:rPr>
          <w:rFonts w:ascii="Times New Roman" w:hAnsi="Times New Roman"/>
          <w:b w:val="0"/>
          <w:i w:val="0"/>
          <w:sz w:val="22"/>
        </w:rPr>
        <w:t>Several limitations bound what this study can claim. First, the logged dataset is subject to the same positivity violation described throughout this paper: because the screening interval a woman received was almost entirely determined by her age band, no offline estimator, however carefully constructed, can produce a reliable value estimate for an interval outside {12, 24, 36} months, and this paper does not claim otherwise — any conclusion about shorter intervals rests entirely on the simulator arm and its associated modeling assumptions, not on the logged data. Second, CSAW-CC is a case-control dataset with a patient-level cancer prevalence roughly seventeen times the true screening-population rate; every result in this paper corrects for this using inverse-prevalence reweighting, but the correction assumes the true population prevalence used (0.6%) is itself accurate for the population this policy would eventually be deployed on, an assumption this paper does not independently verify. Third, no comparison against Behavior Cloning, standard DQN variants, or other offline algorithms is reported empirically in this paper: the case for Conservative Q-Learning's selection over these alternatives, given in §III-E, is a priori and mechanistic rather than the result of a head-to-head experiment, and a rigorous ablation comparing all algorithms under an identical protocol remains outstanding. Fourth, the recall-decision component of the learned policy has essentially zero sensitivity on tabular features alone (§V-B), because the state representation used in this study contains no image content; any deployment-relevant version of this system requires an image encoder this study does not build. Fifth, the density-adaptive baseline's off-policy value estimate is numerically unstable (§V-A) in a manner not yet diagnosed, and should not be treated as a reliable comparison point until that instability is understood. Sixth, and most fundamentally, this paper reports no prospective clinical validation of any kind: every result here is retrospective, and a policy that scores well under off-policy evaluation on historical data is not equivalent to a policy shown, in a live setting, to improve outcomes — prospective validation, most plausibly through a staged or simulation-informed trial design, would be required before any such policy could inform actual screening guidelines.</w:t>
      </w:r>
    </w:p>
    <w:p>
      <w:pPr>
        <w:spacing w:after="160" w:before="320"/>
        <w:jc w:val="center"/>
      </w:pPr>
      <w:r>
        <w:rPr>
          <w:rFonts w:ascii="Times New Roman" w:hAnsi="Times New Roman"/>
          <w:b/>
          <w:i w:val="0"/>
          <w:sz w:val="24"/>
        </w:rPr>
        <w:t>VIII. FUTURE WORK</w:t>
      </w:r>
    </w:p>
    <w:p>
      <w:pPr>
        <w:spacing w:after="120" w:before="0"/>
        <w:ind w:firstLine="288"/>
        <w:jc w:val="both"/>
      </w:pPr>
      <w:r>
        <w:rPr>
          <w:rFonts w:ascii="Times New Roman" w:hAnsi="Times New Roman"/>
          <w:b w:val="0"/>
          <w:i w:val="0"/>
          <w:sz w:val="22"/>
        </w:rPr>
        <w:t>Several extensions follow directly from the limitations above. A formal ablation comparing Conservative Q-Learning against Behavior Cloning, Double DQN, Dueling DQN, and Quantile-Regression DQN under an identical training and evaluation protocol would convert the a priori algorithmic argument of §III-E into an empirical one, and is the most immediate outstanding experiment. Incorporating an image encoder — for instance, a convolutional network operating on the four standard mammographic views, trained either jointly with the policy or as a fixed upstream feature extractor — would directly address the recall-sensitivity gap identified in §V-B and is a prerequisite for any version of this system intended for deployment rather than retrospective analysis. On the simulator side, replacing the provisional per-exam disutility parameter identified in §V-C as the dominant driver of the optimal-interval result with a value grounded in a formal health-utility elicitation study, and jointly re-calibrating the simulator's ten free parameters against a wider set of external validation targets to address the identifiability concerns noted in §VII, would substantially strengthen the simulator arm's causal claims. Training an on-policy agent inside the calibrated simulator itself, where live interaction is available without ethical constraint, and checking its agreement with the offline Conservative Q-Learning policy where their action spaces overlap, would provide an internal consistency check between the two arms of this study that is not currently performed. Finally, prospective validation — most plausibly a staged, simulation-informed pilot restricted to intervals within the range the offline data already supports, with outcomes monitored under the same clinical and safety oversight as any change to screening protocol — remains the necessary final step before any conclusion from this paper could influence actual clinical guidelines.</w:t>
      </w:r>
    </w:p>
    <w:p>
      <w:pPr>
        <w:spacing w:after="0" w:before="200"/>
        <w:jc w:val="center"/>
      </w:pPr>
      <w:r>
        <w:rPr>
          <w:rFonts w:ascii="Times New Roman" w:hAnsi="Times New Roman"/>
          <w:b w:val="0"/>
          <w:i w:val="0"/>
          <w:sz w:val="20"/>
        </w:rPr>
        <w:t>TABLE V</w:t>
      </w:r>
    </w:p>
    <w:p>
      <w:pPr>
        <w:spacing w:after="80" w:before="0"/>
        <w:jc w:val="center"/>
      </w:pPr>
      <w:r>
        <w:rPr>
          <w:rFonts w:ascii="Times New Roman" w:hAnsi="Times New Roman"/>
          <w:b w:val="0"/>
          <w:i w:val="0"/>
          <w:sz w:val="20"/>
        </w:rPr>
        <w:t>COMPARISON WITH RELATED APPROACHES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D9D9D9"/>
          </w:tcPr>
          <w:p>
            <w:pPr>
              <w:jc w:val="center"/>
            </w:pPr>
            <w:r/>
            <w:r>
              <w:rPr>
                <w:rFonts w:ascii="Times New Roman" w:hAnsi="Times New Roman"/>
                <w:b/>
                <w:sz w:val="18"/>
              </w:rPr>
              <w:t>Approach</w:t>
            </w:r>
          </w:p>
        </w:tc>
        <w:tc>
          <w:tcPr>
            <w:tcW w:type="dxa" w:w="1440"/>
            <w:shd w:val="clear" w:color="auto" w:fill="D9D9D9"/>
          </w:tcPr>
          <w:p>
            <w:pPr>
              <w:jc w:val="center"/>
            </w:pPr>
            <w:r/>
            <w:r>
              <w:rPr>
                <w:rFonts w:ascii="Times New Roman" w:hAnsi="Times New Roman"/>
                <w:b/>
                <w:sz w:val="18"/>
              </w:rPr>
              <w:t>Decision Unit</w:t>
            </w:r>
          </w:p>
        </w:tc>
        <w:tc>
          <w:tcPr>
            <w:tcW w:type="dxa" w:w="1872"/>
            <w:shd w:val="clear" w:color="auto" w:fill="D9D9D9"/>
          </w:tcPr>
          <w:p>
            <w:pPr>
              <w:jc w:val="center"/>
            </w:pPr>
            <w:r/>
            <w:r>
              <w:rPr>
                <w:rFonts w:ascii="Times New Roman" w:hAnsi="Times New Roman"/>
                <w:b/>
                <w:sz w:val="18"/>
              </w:rPr>
              <w:t>Learning Paradigm</w:t>
            </w:r>
          </w:p>
        </w:tc>
        <w:tc>
          <w:tcPr>
            <w:tcW w:type="dxa" w:w="2160"/>
            <w:shd w:val="clear" w:color="auto" w:fill="D9D9D9"/>
          </w:tcPr>
          <w:p>
            <w:pPr>
              <w:jc w:val="center"/>
            </w:pPr>
            <w:r/>
            <w:r>
              <w:rPr>
                <w:rFonts w:ascii="Times New Roman" w:hAnsi="Times New Roman"/>
                <w:b/>
                <w:sz w:val="18"/>
              </w:rPr>
              <w:t>Personalization Signal</w:t>
            </w:r>
          </w:p>
        </w:tc>
        <w:tc>
          <w:tcPr>
            <w:tcW w:type="dxa" w:w="2016"/>
            <w:shd w:val="clear" w:color="auto" w:fill="D9D9D9"/>
          </w:tcPr>
          <w:p>
            <w:pPr>
              <w:jc w:val="center"/>
            </w:pPr>
            <w:r/>
            <w:r>
              <w:rPr>
                <w:rFonts w:ascii="Times New Roman" w:hAnsi="Times New Roman"/>
                <w:b/>
                <w:sz w:val="18"/>
              </w:rPr>
              <w:t>Positivity Handling</w:t>
            </w:r>
          </w:p>
        </w:tc>
      </w:tr>
      <w:tr>
        <w:tc>
          <w:tcPr>
            <w:tcW w:type="dxa" w:w="2016"/>
          </w:tcPr>
          <w:p>
            <w:pPr>
              <w:jc w:val="left"/>
            </w:pPr>
            <w:r/>
            <w:r>
              <w:rPr>
                <w:rFonts w:ascii="Times New Roman" w:hAnsi="Times New Roman"/>
                <w:sz w:val="18"/>
              </w:rPr>
              <w:t>Fixed national protocol</w:t>
            </w:r>
          </w:p>
        </w:tc>
        <w:tc>
          <w:tcPr>
            <w:tcW w:type="dxa" w:w="1440"/>
          </w:tcPr>
          <w:p>
            <w:pPr>
              <w:jc w:val="center"/>
            </w:pPr>
            <w:r/>
            <w:r>
              <w:rPr>
                <w:rFonts w:ascii="Times New Roman" w:hAnsi="Times New Roman"/>
                <w:sz w:val="18"/>
              </w:rPr>
              <w:t>Interval</w:t>
            </w:r>
          </w:p>
        </w:tc>
        <w:tc>
          <w:tcPr>
            <w:tcW w:type="dxa" w:w="1872"/>
          </w:tcPr>
          <w:p>
            <w:pPr>
              <w:jc w:val="center"/>
            </w:pPr>
            <w:r/>
            <w:r>
              <w:rPr>
                <w:rFonts w:ascii="Times New Roman" w:hAnsi="Times New Roman"/>
                <w:sz w:val="18"/>
              </w:rPr>
              <w:t>Rule-based</w:t>
            </w:r>
          </w:p>
        </w:tc>
        <w:tc>
          <w:tcPr>
            <w:tcW w:type="dxa" w:w="2160"/>
          </w:tcPr>
          <w:p>
            <w:pPr>
              <w:jc w:val="center"/>
            </w:pPr>
            <w:r/>
            <w:r>
              <w:rPr>
                <w:rFonts w:ascii="Times New Roman" w:hAnsi="Times New Roman"/>
                <w:sz w:val="18"/>
              </w:rPr>
              <w:t>Age band only</w:t>
            </w:r>
          </w:p>
        </w:tc>
        <w:tc>
          <w:tcPr>
            <w:tcW w:type="dxa" w:w="2016"/>
          </w:tcPr>
          <w:p>
            <w:pPr>
              <w:jc w:val="center"/>
            </w:pPr>
            <w:r/>
            <w:r>
              <w:rPr>
                <w:rFonts w:ascii="Times New Roman" w:hAnsi="Times New Roman"/>
                <w:sz w:val="18"/>
              </w:rPr>
              <w:t>N/A</w:t>
            </w:r>
          </w:p>
        </w:tc>
      </w:tr>
      <w:tr>
        <w:tc>
          <w:tcPr>
            <w:tcW w:type="dxa" w:w="2016"/>
          </w:tcPr>
          <w:p>
            <w:pPr>
              <w:jc w:val="left"/>
            </w:pPr>
            <w:r/>
            <w:r>
              <w:rPr>
                <w:rFonts w:ascii="Times New Roman" w:hAnsi="Times New Roman"/>
                <w:sz w:val="18"/>
              </w:rPr>
              <w:t>Risk-prediction models</w:t>
            </w:r>
          </w:p>
        </w:tc>
        <w:tc>
          <w:tcPr>
            <w:tcW w:type="dxa" w:w="1440"/>
          </w:tcPr>
          <w:p>
            <w:pPr>
              <w:jc w:val="center"/>
            </w:pPr>
            <w:r/>
            <w:r>
              <w:rPr>
                <w:rFonts w:ascii="Times New Roman" w:hAnsi="Times New Roman"/>
                <w:sz w:val="18"/>
              </w:rPr>
              <w:t>Risk score</w:t>
            </w:r>
          </w:p>
        </w:tc>
        <w:tc>
          <w:tcPr>
            <w:tcW w:type="dxa" w:w="1872"/>
          </w:tcPr>
          <w:p>
            <w:pPr>
              <w:jc w:val="center"/>
            </w:pPr>
            <w:r/>
            <w:r>
              <w:rPr>
                <w:rFonts w:ascii="Times New Roman" w:hAnsi="Times New Roman"/>
                <w:sz w:val="18"/>
              </w:rPr>
              <w:t>Supervised learning</w:t>
            </w:r>
          </w:p>
        </w:tc>
        <w:tc>
          <w:tcPr>
            <w:tcW w:type="dxa" w:w="2160"/>
          </w:tcPr>
          <w:p>
            <w:pPr>
              <w:jc w:val="center"/>
            </w:pPr>
            <w:r/>
            <w:r>
              <w:rPr>
                <w:rFonts w:ascii="Times New Roman" w:hAnsi="Times New Roman"/>
                <w:sz w:val="18"/>
              </w:rPr>
              <w:t>Risk factors / image</w:t>
            </w:r>
          </w:p>
        </w:tc>
        <w:tc>
          <w:tcPr>
            <w:tcW w:type="dxa" w:w="2016"/>
          </w:tcPr>
          <w:p>
            <w:pPr>
              <w:jc w:val="center"/>
            </w:pPr>
            <w:r/>
            <w:r>
              <w:rPr>
                <w:rFonts w:ascii="Times New Roman" w:hAnsi="Times New Roman"/>
                <w:sz w:val="18"/>
              </w:rPr>
              <w:t>Not applicable</w:t>
            </w:r>
          </w:p>
        </w:tc>
      </w:tr>
      <w:tr>
        <w:tc>
          <w:tcPr>
            <w:tcW w:type="dxa" w:w="2016"/>
          </w:tcPr>
          <w:p>
            <w:pPr>
              <w:jc w:val="left"/>
            </w:pPr>
            <w:r/>
            <w:r>
              <w:rPr>
                <w:rFonts w:ascii="Times New Roman" w:hAnsi="Times New Roman"/>
                <w:sz w:val="18"/>
              </w:rPr>
              <w:t>Prior clinical offline RL</w:t>
            </w:r>
          </w:p>
        </w:tc>
        <w:tc>
          <w:tcPr>
            <w:tcW w:type="dxa" w:w="1440"/>
          </w:tcPr>
          <w:p>
            <w:pPr>
              <w:jc w:val="center"/>
            </w:pPr>
            <w:r/>
            <w:r>
              <w:rPr>
                <w:rFonts w:ascii="Times New Roman" w:hAnsi="Times New Roman"/>
                <w:sz w:val="18"/>
              </w:rPr>
              <w:t>Treatment action</w:t>
            </w:r>
          </w:p>
        </w:tc>
        <w:tc>
          <w:tcPr>
            <w:tcW w:type="dxa" w:w="1872"/>
          </w:tcPr>
          <w:p>
            <w:pPr>
              <w:jc w:val="center"/>
            </w:pPr>
            <w:r/>
            <w:r>
              <w:rPr>
                <w:rFonts w:ascii="Times New Roman" w:hAnsi="Times New Roman"/>
                <w:sz w:val="18"/>
              </w:rPr>
              <w:t>Offline RL (Q-learning)</w:t>
            </w:r>
          </w:p>
        </w:tc>
        <w:tc>
          <w:tcPr>
            <w:tcW w:type="dxa" w:w="2160"/>
          </w:tcPr>
          <w:p>
            <w:pPr>
              <w:jc w:val="center"/>
            </w:pPr>
            <w:r/>
            <w:r>
              <w:rPr>
                <w:rFonts w:ascii="Times New Roman" w:hAnsi="Times New Roman"/>
                <w:sz w:val="18"/>
              </w:rPr>
              <w:t>Vitals / labs</w:t>
            </w:r>
          </w:p>
        </w:tc>
        <w:tc>
          <w:tcPr>
            <w:tcW w:type="dxa" w:w="2016"/>
          </w:tcPr>
          <w:p>
            <w:pPr>
              <w:jc w:val="center"/>
            </w:pPr>
            <w:r/>
            <w:r>
              <w:rPr>
                <w:rFonts w:ascii="Times New Roman" w:hAnsi="Times New Roman"/>
                <w:sz w:val="18"/>
              </w:rPr>
              <w:t>Not typically diagnosed</w:t>
            </w:r>
          </w:p>
        </w:tc>
      </w:tr>
      <w:tr>
        <w:tc>
          <w:tcPr>
            <w:tcW w:type="dxa" w:w="2016"/>
          </w:tcPr>
          <w:p>
            <w:pPr>
              <w:jc w:val="left"/>
            </w:pPr>
            <w:r/>
            <w:r>
              <w:rPr>
                <w:rFonts w:ascii="Times New Roman" w:hAnsi="Times New Roman"/>
                <w:sz w:val="18"/>
              </w:rPr>
              <w:t>This work</w:t>
            </w:r>
          </w:p>
        </w:tc>
        <w:tc>
          <w:tcPr>
            <w:tcW w:type="dxa" w:w="1440"/>
          </w:tcPr>
          <w:p>
            <w:pPr>
              <w:jc w:val="center"/>
            </w:pPr>
            <w:r/>
            <w:r>
              <w:rPr>
                <w:rFonts w:ascii="Times New Roman" w:hAnsi="Times New Roman"/>
                <w:sz w:val="18"/>
              </w:rPr>
              <w:t>Interval + recall</w:t>
            </w:r>
          </w:p>
        </w:tc>
        <w:tc>
          <w:tcPr>
            <w:tcW w:type="dxa" w:w="1872"/>
          </w:tcPr>
          <w:p>
            <w:pPr>
              <w:jc w:val="center"/>
            </w:pPr>
            <w:r/>
            <w:r>
              <w:rPr>
                <w:rFonts w:ascii="Times New Roman" w:hAnsi="Times New Roman"/>
                <w:sz w:val="18"/>
              </w:rPr>
              <w:t>Offline RL (CQL)</w:t>
            </w:r>
          </w:p>
        </w:tc>
        <w:tc>
          <w:tcPr>
            <w:tcW w:type="dxa" w:w="2160"/>
          </w:tcPr>
          <w:p>
            <w:pPr>
              <w:jc w:val="center"/>
            </w:pPr>
            <w:r/>
            <w:r>
              <w:rPr>
                <w:rFonts w:ascii="Times New Roman" w:hAnsi="Times New Roman"/>
                <w:sz w:val="18"/>
              </w:rPr>
              <w:t>Density, density change, history</w:t>
            </w:r>
          </w:p>
        </w:tc>
        <w:tc>
          <w:tcPr>
            <w:tcW w:type="dxa" w:w="2016"/>
          </w:tcPr>
          <w:p>
            <w:pPr>
              <w:jc w:val="center"/>
            </w:pPr>
            <w:r/>
            <w:r>
              <w:rPr>
                <w:rFonts w:ascii="Times New Roman" w:hAnsi="Times New Roman"/>
                <w:sz w:val="18"/>
              </w:rPr>
              <w:t>Explicitly diagnosed and addressed</w:t>
            </w:r>
          </w:p>
        </w:tc>
      </w:tr>
    </w:tbl>
    <w:p>
      <w:pPr>
        <w:spacing w:after="80"/>
      </w:pPr>
    </w:p>
    <w:p>
      <w:pPr>
        <w:spacing w:after="240" w:before="0"/>
      </w:pPr>
      <w:r>
        <w:rPr>
          <w:rFonts w:ascii="Times New Roman" w:hAnsi="Times New Roman"/>
          <w:b w:val="0"/>
          <w:i/>
          <w:sz w:val="18"/>
        </w:rPr>
        <w:t>Qualitative comparison. This paper does not report quantitative cross-study benchmarks against these approaches, as none was evaluated on the same dataset and protocol used here.</w:t>
      </w:r>
    </w:p>
    <w:p>
      <w:pPr>
        <w:spacing w:after="160" w:before="320"/>
        <w:jc w:val="center"/>
      </w:pPr>
      <w:r>
        <w:rPr>
          <w:rFonts w:ascii="Times New Roman" w:hAnsi="Times New Roman"/>
          <w:b/>
          <w:i w:val="0"/>
          <w:sz w:val="24"/>
        </w:rPr>
        <w:t>IX. CONCLUSION</w:t>
      </w:r>
    </w:p>
    <w:p>
      <w:pPr>
        <w:spacing w:after="120" w:before="0"/>
        <w:ind w:firstLine="288"/>
        <w:jc w:val="both"/>
      </w:pPr>
      <w:r>
        <w:rPr>
          <w:rFonts w:ascii="Times New Roman" w:hAnsi="Times New Roman"/>
          <w:b w:val="0"/>
          <w:i w:val="0"/>
          <w:sz w:val="22"/>
        </w:rPr>
        <w:t>This paper formulated personalized breast cancer screening as an offline reinforcement learning problem over the CSAW-CC longitudinal mammography cohort, and used Conservative Q-Learning to learn a screening-interval policy directly from 16,407 transitions logged across 8,723 women's real screening histories, without any live experimentation on patients. The central obstacle throughout was a severe positivity violation: because the interval a woman received was almost entirely determined by her age band, more than ninety percent of the logged data supports only three of the many intervals a screening program might in principle consider, and any offline estimator asked about intervals outside that support is extrapolating rather than measuring. Conservative Q-Learning's explicit penalty on poorly supported actions, together with a companion off-policy evaluation protocol reporting effective sample size and multi-seed Fitted Q-Evaluation rather than a single point estimate, is this paper's response to that obstacle — and the demonstration that standard importance-sampling estimators carry almost no statistical information in this regime is, in the authors' assessment, as significant a finding as the trained policy itself. A calibrated natural-history simulator, fit to the dataset's own measured contrast between screen-detected and interval cancer stage, supplemented the offline analysis by supplying a monotone, clinically coherent dose-response relationship across screening intervals the logged data cannot support at all, while making explicit that its optimal-interval conclusion remains sensitive to a provisional cost parameter pending further validation. Together, these results argue that offline reinforcement learning offers a principled, ethically grounded path toward personalized screening policy, provided that its practitioners report the limits of what their data can support as carefully as they report the policy itself.</w:t>
      </w:r>
    </w:p>
    <w:p>
      <w:r>
        <w:br w:type="page"/>
      </w:r>
    </w:p>
    <w:p>
      <w:pPr>
        <w:spacing w:after="200" w:before="0"/>
        <w:jc w:val="center"/>
      </w:pPr>
      <w:r>
        <w:rPr>
          <w:rFonts w:ascii="Times New Roman" w:hAnsi="Times New Roman"/>
          <w:b/>
          <w:i w:val="0"/>
          <w:sz w:val="24"/>
        </w:rPr>
        <w:t>REFERENCES</w:t>
      </w:r>
    </w:p>
    <w:p>
      <w:pPr>
        <w:spacing w:after="80"/>
        <w:ind w:left="360" w:hanging="360"/>
      </w:pPr>
      <w:r>
        <w:rPr>
          <w:rFonts w:ascii="Times New Roman" w:hAnsi="Times New Roman"/>
          <w:sz w:val="20"/>
        </w:rPr>
        <w:t>[1] V. Mnih et al., “Human-level control through deep reinforcement learning,” Nature, vol. 518, no. 7540, pp. 529–533, 2015.</w:t>
      </w:r>
    </w:p>
    <w:p>
      <w:pPr>
        <w:spacing w:after="80"/>
        <w:ind w:left="360" w:hanging="360"/>
      </w:pPr>
      <w:r>
        <w:rPr>
          <w:rFonts w:ascii="Times New Roman" w:hAnsi="Times New Roman"/>
          <w:sz w:val="20"/>
        </w:rPr>
        <w:t>[2] H. van Hasselt, A. Guez, and D. Silver, “Deep reinforcement learning with double Q-learning,” in Proc. 30th AAAI Conf. Artificial Intelligence, 2016, pp. 2094–2100.</w:t>
      </w:r>
    </w:p>
    <w:p>
      <w:pPr>
        <w:spacing w:after="80"/>
        <w:ind w:left="360" w:hanging="360"/>
      </w:pPr>
      <w:r>
        <w:rPr>
          <w:rFonts w:ascii="Times New Roman" w:hAnsi="Times New Roman"/>
          <w:sz w:val="20"/>
        </w:rPr>
        <w:t>[3] Z. Wang, T. Schaul, M. Hessel, H. van Hasselt, M. Lanctot, and N. de Freitas, “Dueling network architectures for deep reinforcement learning,” in Proc. 33rd Int. Conf. Machine Learning (ICML), 2016, pp. 1995–2003.</w:t>
      </w:r>
    </w:p>
    <w:p>
      <w:pPr>
        <w:spacing w:after="80"/>
        <w:ind w:left="360" w:hanging="360"/>
      </w:pPr>
      <w:r>
        <w:rPr>
          <w:rFonts w:ascii="Times New Roman" w:hAnsi="Times New Roman"/>
          <w:sz w:val="20"/>
        </w:rPr>
        <w:t>[4] M. G. Bellemare, W. Dabney, and R. Munos, “A distributional perspective on reinforcement learning,” in Proc. 34th Int. Conf. Machine Learning (ICML), 2017, pp. 449–458.</w:t>
      </w:r>
    </w:p>
    <w:p>
      <w:pPr>
        <w:spacing w:after="80"/>
        <w:ind w:left="360" w:hanging="360"/>
      </w:pPr>
      <w:r>
        <w:rPr>
          <w:rFonts w:ascii="Times New Roman" w:hAnsi="Times New Roman"/>
          <w:sz w:val="20"/>
        </w:rPr>
        <w:t>[5] W. Dabney, M. Rowland, M. G. Bellemare, and R. Munos, “Distributional reinforcement learning with quantile regression,” in Proc. 32nd AAAI Conf. Artificial Intelligence, 2018, pp. 2892–2901.</w:t>
      </w:r>
    </w:p>
    <w:p>
      <w:pPr>
        <w:spacing w:after="80"/>
        <w:ind w:left="360" w:hanging="360"/>
      </w:pPr>
      <w:r>
        <w:rPr>
          <w:rFonts w:ascii="Times New Roman" w:hAnsi="Times New Roman"/>
          <w:sz w:val="20"/>
        </w:rPr>
        <w:t>[6] S. Fujimoto, D. Meger, and D. Precup, “Off-policy deep reinforcement learning without exploration,” in Proc. 36th Int. Conf. Machine Learning (ICML), 2019, pp. 2052–2062.</w:t>
      </w:r>
    </w:p>
    <w:p>
      <w:pPr>
        <w:spacing w:after="80"/>
        <w:ind w:left="360" w:hanging="360"/>
      </w:pPr>
      <w:r>
        <w:rPr>
          <w:rFonts w:ascii="Times New Roman" w:hAnsi="Times New Roman"/>
          <w:sz w:val="20"/>
        </w:rPr>
        <w:t>[7] A. Kumar, A. Zhou, G. Tucker, and S. Levine, “Conservative Q-learning for offline reinforcement learning,” in Advances in Neural Information Processing Systems (NeurIPS), vol. 33, 2020, pp. 1179–1191.</w:t>
      </w:r>
    </w:p>
    <w:p>
      <w:pPr>
        <w:spacing w:after="80"/>
        <w:ind w:left="360" w:hanging="360"/>
      </w:pPr>
      <w:r>
        <w:rPr>
          <w:rFonts w:ascii="Times New Roman" w:hAnsi="Times New Roman"/>
          <w:sz w:val="20"/>
        </w:rPr>
        <w:t>[8] S. Levine, A. Kumar, G. Tucker, and J. Fu, “Offline reinforcement learning: Tutorial, review, and perspectives on open problems,” arXiv preprint arXiv:2005.01643, 2020.</w:t>
      </w:r>
    </w:p>
    <w:p>
      <w:pPr>
        <w:spacing w:after="80"/>
        <w:ind w:left="360" w:hanging="360"/>
      </w:pPr>
      <w:r>
        <w:rPr>
          <w:rFonts w:ascii="Times New Roman" w:hAnsi="Times New Roman"/>
          <w:sz w:val="20"/>
        </w:rPr>
        <w:t>[9] I. Kostrikov, A. Nair, and S. Levine, “Offline reinforcement learning with implicit Q-learning,” in Proc. Int. Conf. Learning Representations (ICLR), 2022.</w:t>
      </w:r>
    </w:p>
    <w:p>
      <w:pPr>
        <w:spacing w:after="80"/>
        <w:ind w:left="360" w:hanging="360"/>
      </w:pPr>
      <w:r>
        <w:rPr>
          <w:rFonts w:ascii="Times New Roman" w:hAnsi="Times New Roman"/>
          <w:sz w:val="20"/>
        </w:rPr>
        <w:t>[10] D. Precup, R. S. Sutton, and S. Singh, “Eligibility traces for off-policy policy evaluation,” in Proc. 17th Int. Conf. Machine Learning (ICML), 2000, pp. 759–766.</w:t>
      </w:r>
    </w:p>
    <w:p>
      <w:pPr>
        <w:spacing w:after="80"/>
        <w:ind w:left="360" w:hanging="360"/>
      </w:pPr>
      <w:r>
        <w:rPr>
          <w:rFonts w:ascii="Times New Roman" w:hAnsi="Times New Roman"/>
          <w:sz w:val="20"/>
        </w:rPr>
        <w:t>[11] P. Thomas and E. Brunskill, “Data-efficient off-policy policy evaluation for reinforcement learning,” in Proc. 33rd Int. Conf. Machine Learning (ICML), 2016, pp. 2139–2148.</w:t>
      </w:r>
    </w:p>
    <w:p>
      <w:pPr>
        <w:spacing w:after="80"/>
        <w:ind w:left="360" w:hanging="360"/>
      </w:pPr>
      <w:r>
        <w:rPr>
          <w:rFonts w:ascii="Times New Roman" w:hAnsi="Times New Roman"/>
          <w:sz w:val="20"/>
        </w:rPr>
        <w:t>[12] C. Voloshin, H. M. Le, N. Jiang, and Y. Yue, “Empirical study of off-policy policy evaluation for reinforcement learning,” in Proc. NeurIPS Datasets and Benchmarks Track, 2021.</w:t>
      </w:r>
    </w:p>
    <w:p>
      <w:pPr>
        <w:spacing w:after="80"/>
        <w:ind w:left="360" w:hanging="360"/>
      </w:pPr>
      <w:r>
        <w:rPr>
          <w:rFonts w:ascii="Times New Roman" w:hAnsi="Times New Roman"/>
          <w:sz w:val="20"/>
        </w:rPr>
        <w:t>[13] M. Komorowski, L. A. Celi, O. Badawi, A. C. Gordon, and A. A. Faisal, “The artificial intelligence clinician learns optimal treatment strategies for sepsis in intensive care,” Nature Medicine, vol. 24, no. 11, pp. 1716–1720, 2018.</w:t>
      </w:r>
    </w:p>
    <w:p>
      <w:pPr>
        <w:spacing w:after="80"/>
        <w:ind w:left="360" w:hanging="360"/>
      </w:pPr>
      <w:r>
        <w:rPr>
          <w:rFonts w:ascii="Times New Roman" w:hAnsi="Times New Roman"/>
          <w:sz w:val="20"/>
        </w:rPr>
        <w:t>[14] N. Prasad, L.-F. Cheng, C. Chivers, M. Draugelis, and B. E. Engelhardt, “A reinforcement learning approach to weaning of mechanical ventilation in intensive care units,” in Proc. 33rd Conf. Uncertainty in Artificial Intelligence (UAI), 2017.</w:t>
      </w:r>
    </w:p>
    <w:p>
      <w:pPr>
        <w:spacing w:after="80"/>
        <w:ind w:left="360" w:hanging="360"/>
      </w:pPr>
      <w:r>
        <w:rPr>
          <w:rFonts w:ascii="Times New Roman" w:hAnsi="Times New Roman"/>
          <w:sz w:val="20"/>
        </w:rPr>
        <w:t>[15] A. Raghu, M. Komorowski, I. Ahmed, L. Celi, P. Szolovits, and M. Ghassemi, “Deep reinforcement learning for sepsis treatment,” arXiv preprint arXiv:1711.09602, 2017.</w:t>
      </w:r>
    </w:p>
    <w:p>
      <w:pPr>
        <w:spacing w:after="80"/>
        <w:ind w:left="360" w:hanging="360"/>
      </w:pPr>
      <w:r>
        <w:rPr>
          <w:rFonts w:ascii="Times New Roman" w:hAnsi="Times New Roman"/>
          <w:sz w:val="20"/>
        </w:rPr>
        <w:t>[16] O. Gottesman et al., “Guidelines for reinforcement learning in healthcare,” Nature Medicine, vol. 25, no. 1, pp. 16–18, 2019.</w:t>
      </w:r>
    </w:p>
    <w:p>
      <w:pPr>
        <w:spacing w:after="80"/>
        <w:ind w:left="360" w:hanging="360"/>
      </w:pPr>
      <w:r>
        <w:rPr>
          <w:rFonts w:ascii="Times New Roman" w:hAnsi="Times New Roman"/>
          <w:sz w:val="20"/>
        </w:rPr>
        <w:t>[17] C. Yu, J. Liu, S. Nemati, and G. Yin, “Reinforcement learning in healthcare: A survey,” ACM Computing Surveys, vol. 55, no. 1, pp. 1–36, 2023.</w:t>
      </w:r>
    </w:p>
    <w:p>
      <w:pPr>
        <w:spacing w:after="80"/>
        <w:ind w:left="360" w:hanging="360"/>
      </w:pPr>
      <w:r>
        <w:rPr>
          <w:rFonts w:ascii="Times New Roman" w:hAnsi="Times New Roman"/>
          <w:sz w:val="20"/>
        </w:rPr>
        <w:t>[18] K. Dembrower, P. Lindholm, and F. Strand, “A multi-million mammography image dataset and population-based screening cohort for the training and evaluation of deep neural networks — the Cohort of Screen-Aged Women (CSAW),” Journal of Digital Imaging, vol. 33, no. 2, pp. 408–413, 2020.</w:t>
      </w:r>
    </w:p>
    <w:p>
      <w:pPr>
        <w:spacing w:after="80"/>
        <w:ind w:left="360" w:hanging="360"/>
      </w:pPr>
      <w:r>
        <w:rPr>
          <w:rFonts w:ascii="Times New Roman" w:hAnsi="Times New Roman"/>
          <w:sz w:val="20"/>
        </w:rPr>
        <w:t>[19] J. G. Elmore, C. K. Wells, C. H. Lee, D. H. Howard, and A. R. Feinstein, “Variability in radiologists’ interpretations of mammograms,” New England Journal of Medicine, vol. 331, no. 22, pp. 1493–1499, 1994.</w:t>
      </w:r>
    </w:p>
    <w:p>
      <w:pPr>
        <w:spacing w:after="80"/>
        <w:ind w:left="360" w:hanging="360"/>
      </w:pPr>
      <w:r>
        <w:rPr>
          <w:rFonts w:ascii="Times New Roman" w:hAnsi="Times New Roman"/>
          <w:sz w:val="20"/>
        </w:rPr>
        <w:t>[20] L. Tábár et al., “Beyond randomized controlled trials: organized mammographic screening substantially reduces breast cancer mortality,” Cancer, vol. 91, no. 9, pp. 1724–1731, 2001.</w:t>
      </w:r>
    </w:p>
    <w:p>
      <w:pPr>
        <w:spacing w:after="80"/>
        <w:ind w:left="360" w:hanging="360"/>
      </w:pPr>
      <w:r>
        <w:rPr>
          <w:rFonts w:ascii="Times New Roman" w:hAnsi="Times New Roman"/>
          <w:sz w:val="20"/>
        </w:rPr>
        <w:t>[21] M. Marmot et al., “The benefits and harms of breast cancer screening: an independent review,” British Journal of Cancer, vol. 108, no. 11, pp. 2205–2240, 2013.</w:t>
      </w:r>
    </w:p>
    <w:p>
      <w:pPr>
        <w:spacing w:after="80"/>
        <w:ind w:left="360" w:hanging="360"/>
      </w:pPr>
      <w:r>
        <w:rPr>
          <w:rFonts w:ascii="Times New Roman" w:hAnsi="Times New Roman"/>
          <w:sz w:val="20"/>
        </w:rPr>
        <w:t>[22] R. S. Sutton and A. G. Barto, Reinforcement Learning: An Introduction, 2nd ed. Cambridge, MA, USA: MIT Press, 2018.</w:t>
      </w:r>
    </w:p>
    <w:p>
      <w:pPr>
        <w:spacing w:after="80"/>
        <w:ind w:left="360" w:hanging="360"/>
      </w:pPr>
      <w:r>
        <w:rPr>
          <w:rFonts w:ascii="Times New Roman" w:hAnsi="Times New Roman"/>
          <w:sz w:val="20"/>
        </w:rPr>
        <w:t>[23] M. L. Puterman, Markov Decision Processes: Discrete Stochastic Dynamic Programming. Hoboken, NJ, USA: Wiley, 1994.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