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037DF" w14:textId="77777777" w:rsidR="0053553D" w:rsidRDefault="00000000">
      <w:r>
        <w:rPr>
          <w:b/>
          <w:bCs/>
          <w:color w:val="003087"/>
          <w:sz w:val="44"/>
          <w:szCs w:val="44"/>
        </w:rPr>
        <w:t>Outpatient Capacity &amp; Digital-First Priorities</w:t>
      </w:r>
    </w:p>
    <w:p w14:paraId="152037E0" w14:textId="77777777" w:rsidR="0053553D" w:rsidRDefault="00000000">
      <w:pPr>
        <w:spacing w:after="60"/>
      </w:pPr>
      <w:r>
        <w:rPr>
          <w:color w:val="595959"/>
          <w:sz w:val="24"/>
          <w:szCs w:val="24"/>
        </w:rPr>
        <w:t>A diagnosis-level analysis of national outpatient attendance data</w:t>
      </w:r>
    </w:p>
    <w:p w14:paraId="152037E1" w14:textId="77777777" w:rsidR="0053553D" w:rsidRDefault="00000000">
      <w:pPr>
        <w:spacing w:after="300"/>
      </w:pPr>
      <w:r>
        <w:rPr>
          <w:i/>
          <w:iCs/>
          <w:color w:val="595959"/>
          <w:sz w:val="18"/>
          <w:szCs w:val="18"/>
        </w:rPr>
        <w:t>Prepared for: Service Planning &amp; Digital Transformation Teams   |   Date: June 2026</w:t>
      </w:r>
    </w:p>
    <w:p w14:paraId="152037E2" w14:textId="77777777" w:rsidR="0053553D" w:rsidRDefault="0053553D">
      <w:pPr>
        <w:pBdr>
          <w:bottom w:val="single" w:sz="6" w:space="1" w:color="0072CE"/>
        </w:pBdr>
        <w:spacing w:after="240"/>
      </w:pPr>
    </w:p>
    <w:p w14:paraId="152037E3" w14:textId="77777777" w:rsidR="0053553D" w:rsidRDefault="00000000">
      <w:pPr>
        <w:pStyle w:val="Heading1"/>
      </w:pPr>
      <w:r>
        <w:t>Executive Summary</w:t>
      </w:r>
    </w:p>
    <w:p w14:paraId="152037E4" w14:textId="77777777" w:rsidR="0053553D" w:rsidRDefault="00000000">
      <w:pPr>
        <w:spacing w:after="160"/>
      </w:pPr>
      <w:r>
        <w:t>This analysis examines a national dataset of outpatient attendances coded by primary diagnosis. The objective was to identify where the NHS should prioritise outpatient capacity planning and digital-first (telemedicine) investment, and to surface a critical data quality issue that limits the reliability of diagnosis-level reporting.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553D" w14:paraId="152037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2037E5" w14:textId="77777777" w:rsidR="0053553D" w:rsidRDefault="00000000">
            <w:r>
              <w:rPr>
                <w:b/>
                <w:bCs/>
                <w:color w:val="003087"/>
                <w:sz w:val="28"/>
                <w:szCs w:val="28"/>
              </w:rPr>
              <w:t>113,225,153</w:t>
            </w:r>
          </w:p>
          <w:p w14:paraId="152037E6" w14:textId="77777777" w:rsidR="0053553D" w:rsidRDefault="00000000">
            <w:r>
              <w:rPr>
                <w:color w:val="595959"/>
                <w:sz w:val="20"/>
                <w:szCs w:val="20"/>
              </w:rPr>
              <w:t>Total outpatient attendances</w:t>
            </w:r>
          </w:p>
        </w:tc>
      </w:tr>
      <w:tr w:rsidR="0053553D" w14:paraId="152037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2037E8" w14:textId="77777777" w:rsidR="0053553D" w:rsidRDefault="00000000">
            <w:r>
              <w:rPr>
                <w:b/>
                <w:bCs/>
                <w:color w:val="003087"/>
                <w:sz w:val="28"/>
                <w:szCs w:val="28"/>
              </w:rPr>
              <w:t>92.1%</w:t>
            </w:r>
          </w:p>
          <w:p w14:paraId="152037E9" w14:textId="77777777" w:rsidR="0053553D" w:rsidRDefault="00000000">
            <w:r>
              <w:rPr>
                <w:color w:val="595959"/>
                <w:sz w:val="20"/>
                <w:szCs w:val="20"/>
              </w:rPr>
              <w:t>Attendances with NO diagnosis recorded</w:t>
            </w:r>
          </w:p>
        </w:tc>
      </w:tr>
      <w:tr w:rsidR="0053553D" w14:paraId="152037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2037EB" w14:textId="77777777" w:rsidR="0053553D" w:rsidRDefault="00000000">
            <w:r>
              <w:rPr>
                <w:b/>
                <w:bCs/>
                <w:color w:val="003087"/>
                <w:sz w:val="28"/>
                <w:szCs w:val="28"/>
              </w:rPr>
              <w:t>7.9%</w:t>
            </w:r>
          </w:p>
          <w:p w14:paraId="152037EC" w14:textId="77777777" w:rsidR="0053553D" w:rsidRDefault="00000000">
            <w:r>
              <w:rPr>
                <w:color w:val="595959"/>
                <w:sz w:val="20"/>
                <w:szCs w:val="20"/>
              </w:rPr>
              <w:t>Attendances with a usable diagnosis code</w:t>
            </w:r>
          </w:p>
        </w:tc>
      </w:tr>
      <w:tr w:rsidR="0053553D" w14:paraId="152037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2037EE" w14:textId="77777777" w:rsidR="0053553D" w:rsidRDefault="00000000">
            <w:r>
              <w:rPr>
                <w:b/>
                <w:bCs/>
                <w:color w:val="003087"/>
                <w:sz w:val="28"/>
                <w:szCs w:val="28"/>
              </w:rPr>
              <w:t>568 of 7,129 (8%)</w:t>
            </w:r>
          </w:p>
          <w:p w14:paraId="152037EF" w14:textId="77777777" w:rsidR="0053553D" w:rsidRDefault="00000000">
            <w:r>
              <w:rPr>
                <w:color w:val="595959"/>
                <w:sz w:val="20"/>
                <w:szCs w:val="20"/>
              </w:rPr>
              <w:t>Diagnoses driving 80% of coded demand</w:t>
            </w:r>
          </w:p>
        </w:tc>
      </w:tr>
    </w:tbl>
    <w:p w14:paraId="152037F1" w14:textId="77777777" w:rsidR="0053553D" w:rsidRDefault="0053553D">
      <w:pPr>
        <w:spacing w:before="200"/>
      </w:pPr>
    </w:p>
    <w:p w14:paraId="152037F2" w14:textId="77777777" w:rsidR="0053553D" w:rsidRDefault="00000000">
      <w:pPr>
        <w:spacing w:after="160"/>
      </w:pPr>
      <w:r>
        <w:t>The single most significant finding is a data completeness issue, not a clinical one: 92.1% of all outpatient attendances nationally are recorded under "Unknown and unspecified causes of morbidity" rather than a specific diagnosis code. This means any diagnosis-level workforce, capacity, or digital-adoption analysis - including the recommendations below - is currently built on under 8% of total activity. Closing this gap should be treated as the top-priority recommendation, ahead of any individual diagnosis-level action.</w:t>
      </w:r>
    </w:p>
    <w:p w14:paraId="152037F3" w14:textId="77777777" w:rsidR="0053553D" w:rsidRDefault="00000000">
      <w:pPr>
        <w:pStyle w:val="Heading1"/>
      </w:pPr>
      <w:r>
        <w:t>1. Background &amp; Business Question</w:t>
      </w:r>
    </w:p>
    <w:p w14:paraId="152037F4" w14:textId="77777777" w:rsidR="0053553D" w:rsidRDefault="00000000">
      <w:pPr>
        <w:spacing w:after="160"/>
      </w:pPr>
      <w:r>
        <w:t>Outpatient services account for the largest share of NHS elective activity. With demand continuing to outstrip capacity, service planning teams need an evidence-based view of which conditions drive the most demand, which generate the heaviest repeat-attendance burden, and where telemedicine is under-used relative to its potential. This report addresses:</w:t>
      </w:r>
    </w:p>
    <w:p w14:paraId="152037F5" w14:textId="77777777" w:rsidR="0053553D" w:rsidRDefault="00000000">
      <w:pPr>
        <w:pStyle w:val="ListParagraph"/>
        <w:numPr>
          <w:ilvl w:val="0"/>
          <w:numId w:val="2"/>
        </w:numPr>
        <w:spacing w:after="80"/>
      </w:pPr>
      <w:r>
        <w:t>Where is outpatient demand concentrated, and is that concentration in conditions suited to standardisation or digital pathways?</w:t>
      </w:r>
    </w:p>
    <w:p w14:paraId="152037F6" w14:textId="77777777" w:rsidR="0053553D" w:rsidRDefault="00000000">
      <w:pPr>
        <w:pStyle w:val="ListParagraph"/>
        <w:numPr>
          <w:ilvl w:val="0"/>
          <w:numId w:val="2"/>
        </w:numPr>
        <w:spacing w:after="80"/>
      </w:pPr>
      <w:r>
        <w:t>Which high-volume diagnoses generate disproportionate follow-up burden, indicating a need for better long-term pathway management?</w:t>
      </w:r>
    </w:p>
    <w:p w14:paraId="152037F7" w14:textId="77777777" w:rsidR="0053553D" w:rsidRDefault="00000000">
      <w:pPr>
        <w:pStyle w:val="ListParagraph"/>
        <w:numPr>
          <w:ilvl w:val="0"/>
          <w:numId w:val="2"/>
        </w:numPr>
        <w:spacing w:after="80"/>
      </w:pPr>
      <w:r>
        <w:t>Which high-volume diagnoses are least digitally adopted, representing the clearest telemedicine investment opportunity?</w:t>
      </w:r>
    </w:p>
    <w:p w14:paraId="152037F8" w14:textId="77777777" w:rsidR="0053553D" w:rsidRDefault="00000000">
      <w:pPr>
        <w:pStyle w:val="ListParagraph"/>
        <w:numPr>
          <w:ilvl w:val="0"/>
          <w:numId w:val="2"/>
        </w:numPr>
        <w:spacing w:after="80"/>
      </w:pPr>
      <w:r>
        <w:t>Is the underlying data fit for this kind of decision-making?</w:t>
      </w:r>
    </w:p>
    <w:p w14:paraId="152037F9" w14:textId="77777777" w:rsidR="0053553D" w:rsidRDefault="00000000">
      <w:pPr>
        <w:pStyle w:val="Heading1"/>
      </w:pPr>
      <w:r>
        <w:lastRenderedPageBreak/>
        <w:t>2. Headline Finding: Diagnosis Coding Completeness</w:t>
      </w:r>
    </w:p>
    <w:p w14:paraId="152037FA" w14:textId="77777777" w:rsidR="0053553D" w:rsidRDefault="00000000">
      <w:pPr>
        <w:spacing w:after="160"/>
      </w:pPr>
      <w:r>
        <w:t>Of 113,225,153 total outpatient attendances, 104,324,890 (92.1%) are recorded against "Unknown and unspecified causes of morbidity" rather than a specific ICD-10 diagnosis. Only 8,900,245 attendances (7.9%) carry a specific, analytically useful diagnosis code.</w:t>
      </w:r>
    </w:p>
    <w:p w14:paraId="152037FB" w14:textId="77777777" w:rsidR="0053553D" w:rsidRDefault="00000000">
      <w:pPr>
        <w:spacing w:after="160"/>
      </w:pPr>
      <w:r>
        <w:t>This is materially different from a normal level of background data noise. At this scale, it indicates a systemic gap in diagnosis capture at the point of care - most likely concentrated in particular specialties, systems, or recording workflows rather than spread evenly. Until this is investigated, any diagnosis-level resourcing decision (including the priority list in Section 4) only reflects a small, possibly non-representative slice of total outpatient activity.</w:t>
      </w:r>
    </w:p>
    <w:p w14:paraId="152037FC" w14:textId="77777777" w:rsidR="0053553D" w:rsidRDefault="00000000">
      <w:pPr>
        <w:spacing w:after="160"/>
      </w:pPr>
      <w:r>
        <w:rPr>
          <w:b/>
          <w:bCs/>
        </w:rPr>
        <w:t>Recommendation: commission a focused data-quality investigation - broken down by NHS trust, specialty, and electronic patient record (EPR) system - to identify where diagnosis capture is failing, before diagnosis-level analytics are used for major resourcing decisions.</w:t>
      </w:r>
    </w:p>
    <w:p w14:paraId="152037FD" w14:textId="77777777" w:rsidR="0053553D" w:rsidRDefault="00000000">
      <w:pPr>
        <w:pStyle w:val="Heading1"/>
      </w:pPr>
      <w:r>
        <w:t>3. Demand Concentration (of the coded 7.9%)</w:t>
      </w:r>
    </w:p>
    <w:p w14:paraId="152037FE" w14:textId="77777777" w:rsidR="0053553D" w:rsidRDefault="00000000">
      <w:pPr>
        <w:spacing w:after="160"/>
      </w:pPr>
      <w:r>
        <w:t>Among attendances that do carry a specific diagnosis, demand is highly concentrated: just 568 of 7,129 distinct diagnoses (8.0%) account for 80% of coded attendances. The ten highest-volume coded diagnoses 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53553D" w14:paraId="15203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037FF" w14:textId="77777777" w:rsidR="0053553D" w:rsidRDefault="00000000">
            <w:r>
              <w:rPr>
                <w:b/>
                <w:bCs/>
                <w:color w:val="FFFFFF"/>
                <w:sz w:val="20"/>
                <w:szCs w:val="20"/>
              </w:rPr>
              <w:t>Diagnosis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03800" w14:textId="77777777" w:rsidR="0053553D" w:rsidRDefault="00000000">
            <w:r>
              <w:rPr>
                <w:b/>
                <w:bCs/>
                <w:color w:val="FFFFFF"/>
                <w:sz w:val="20"/>
                <w:szCs w:val="20"/>
              </w:rPr>
              <w:t>Attendances</w:t>
            </w:r>
          </w:p>
        </w:tc>
      </w:tr>
      <w:tr w:rsidR="0053553D" w14:paraId="15203804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02" w14:textId="77777777" w:rsidR="0053553D" w:rsidRDefault="00000000">
            <w:r>
              <w:rPr>
                <w:sz w:val="20"/>
                <w:szCs w:val="20"/>
              </w:rPr>
              <w:t>Malignant neoplasm of prostate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03" w14:textId="77777777" w:rsidR="0053553D" w:rsidRDefault="00000000">
            <w:r>
              <w:rPr>
                <w:sz w:val="20"/>
                <w:szCs w:val="20"/>
              </w:rPr>
              <w:t>213,533</w:t>
            </w:r>
          </w:p>
        </w:tc>
      </w:tr>
      <w:tr w:rsidR="0053553D" w14:paraId="15203807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05" w14:textId="77777777" w:rsidR="0053553D" w:rsidRDefault="00000000">
            <w:r>
              <w:rPr>
                <w:sz w:val="20"/>
                <w:szCs w:val="20"/>
              </w:rPr>
              <w:t>Pregnant state, incidental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06" w14:textId="77777777" w:rsidR="0053553D" w:rsidRDefault="00000000">
            <w:r>
              <w:rPr>
                <w:sz w:val="20"/>
                <w:szCs w:val="20"/>
              </w:rPr>
              <w:t>193,739</w:t>
            </w:r>
          </w:p>
        </w:tc>
      </w:tr>
      <w:tr w:rsidR="0053553D" w14:paraId="1520380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08" w14:textId="77777777" w:rsidR="0053553D" w:rsidRDefault="00000000">
            <w:r>
              <w:rPr>
                <w:sz w:val="20"/>
                <w:szCs w:val="20"/>
              </w:rPr>
              <w:t>Malignant neoplasm: Breast, unspecified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09" w14:textId="77777777" w:rsidR="0053553D" w:rsidRDefault="00000000">
            <w:r>
              <w:rPr>
                <w:sz w:val="20"/>
                <w:szCs w:val="20"/>
              </w:rPr>
              <w:t>178,154</w:t>
            </w:r>
          </w:p>
        </w:tc>
      </w:tr>
      <w:tr w:rsidR="0053553D" w14:paraId="1520380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0B" w14:textId="77777777" w:rsidR="0053553D" w:rsidRDefault="00000000">
            <w:r>
              <w:rPr>
                <w:sz w:val="20"/>
                <w:szCs w:val="20"/>
              </w:rPr>
              <w:t>After-cataract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0C" w14:textId="77777777" w:rsidR="0053553D" w:rsidRDefault="00000000">
            <w:r>
              <w:rPr>
                <w:sz w:val="20"/>
                <w:szCs w:val="20"/>
              </w:rPr>
              <w:t>171,334</w:t>
            </w:r>
          </w:p>
        </w:tc>
      </w:tr>
      <w:tr w:rsidR="0053553D" w14:paraId="1520381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0E" w14:textId="77777777" w:rsidR="0053553D" w:rsidRDefault="00000000">
            <w:r>
              <w:rPr>
                <w:sz w:val="20"/>
                <w:szCs w:val="20"/>
              </w:rPr>
              <w:t>Pain in joint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0F" w14:textId="77777777" w:rsidR="0053553D" w:rsidRDefault="00000000">
            <w:r>
              <w:rPr>
                <w:sz w:val="20"/>
                <w:szCs w:val="20"/>
              </w:rPr>
              <w:t>166,330</w:t>
            </w:r>
          </w:p>
        </w:tc>
      </w:tr>
      <w:tr w:rsidR="0053553D" w14:paraId="15203813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11" w14:textId="77777777" w:rsidR="0053553D" w:rsidRDefault="00000000">
            <w:r>
              <w:rPr>
                <w:sz w:val="20"/>
                <w:szCs w:val="20"/>
              </w:rPr>
              <w:t>Degeneration of macula and posterior pole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12" w14:textId="77777777" w:rsidR="0053553D" w:rsidRDefault="00000000">
            <w:r>
              <w:rPr>
                <w:sz w:val="20"/>
                <w:szCs w:val="20"/>
              </w:rPr>
              <w:t>156,386</w:t>
            </w:r>
          </w:p>
        </w:tc>
      </w:tr>
      <w:tr w:rsidR="0053553D" w14:paraId="15203816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14" w14:textId="77777777" w:rsidR="0053553D" w:rsidRDefault="00000000">
            <w:r>
              <w:rPr>
                <w:sz w:val="20"/>
                <w:szCs w:val="20"/>
              </w:rPr>
              <w:t>Other specified general symptoms and signs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15" w14:textId="77777777" w:rsidR="0053553D" w:rsidRDefault="00000000">
            <w:r>
              <w:rPr>
                <w:sz w:val="20"/>
                <w:szCs w:val="20"/>
              </w:rPr>
              <w:t>153,254</w:t>
            </w:r>
          </w:p>
        </w:tc>
      </w:tr>
      <w:tr w:rsidR="0053553D" w14:paraId="1520381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17" w14:textId="77777777" w:rsidR="0053553D" w:rsidRDefault="00000000">
            <w:proofErr w:type="gramStart"/>
            <w:r>
              <w:rPr>
                <w:sz w:val="20"/>
                <w:szCs w:val="20"/>
              </w:rPr>
              <w:t>Other</w:t>
            </w:r>
            <w:proofErr w:type="gramEnd"/>
            <w:r>
              <w:rPr>
                <w:sz w:val="20"/>
                <w:szCs w:val="20"/>
              </w:rPr>
              <w:t xml:space="preserve"> senile cataract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18" w14:textId="77777777" w:rsidR="0053553D" w:rsidRDefault="00000000">
            <w:r>
              <w:rPr>
                <w:sz w:val="20"/>
                <w:szCs w:val="20"/>
              </w:rPr>
              <w:t>127,368</w:t>
            </w:r>
          </w:p>
        </w:tc>
      </w:tr>
      <w:tr w:rsidR="0053553D" w14:paraId="1520381C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1A" w14:textId="77777777" w:rsidR="0053553D" w:rsidRDefault="00000000">
            <w:r>
              <w:rPr>
                <w:sz w:val="20"/>
                <w:szCs w:val="20"/>
              </w:rPr>
              <w:t>Examination of eyes and vision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1B" w14:textId="77777777" w:rsidR="0053553D" w:rsidRDefault="00000000">
            <w:r>
              <w:rPr>
                <w:sz w:val="20"/>
                <w:szCs w:val="20"/>
              </w:rPr>
              <w:t>93,506</w:t>
            </w:r>
          </w:p>
        </w:tc>
      </w:tr>
      <w:tr w:rsidR="0053553D" w14:paraId="1520381F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1D" w14:textId="77777777" w:rsidR="0053553D" w:rsidRDefault="00000000">
            <w:r>
              <w:rPr>
                <w:sz w:val="20"/>
                <w:szCs w:val="20"/>
              </w:rPr>
              <w:t>Supervision of normal pregnancy, unspecified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381E" w14:textId="77777777" w:rsidR="0053553D" w:rsidRDefault="00000000">
            <w:r>
              <w:rPr>
                <w:sz w:val="20"/>
                <w:szCs w:val="20"/>
              </w:rPr>
              <w:t>83,704</w:t>
            </w:r>
          </w:p>
        </w:tc>
      </w:tr>
    </w:tbl>
    <w:p w14:paraId="15203820" w14:textId="77777777" w:rsidR="0053553D" w:rsidRDefault="0053553D">
      <w:pPr>
        <w:spacing w:before="200"/>
      </w:pPr>
    </w:p>
    <w:p w14:paraId="15203821" w14:textId="77777777" w:rsidR="0053553D" w:rsidRDefault="00000000">
      <w:pPr>
        <w:spacing w:after="160"/>
      </w:pPr>
      <w:r>
        <w:t>Implication: a small, well-defined set of pathways - oncology surveillance, ophthalmology (cataract/macular), musculoskeletal pain, and maternity - account for a disproportionate share of coded demand. These are strong candidates for standardised, protocol-driven pathways (e.g. PIFU - patient-initiated follow-up - for stable cataract/macular patients) rather than blanket capacity increases.</w:t>
      </w:r>
    </w:p>
    <w:p w14:paraId="15203822" w14:textId="77777777" w:rsidR="0053553D" w:rsidRDefault="00000000">
      <w:pPr>
        <w:pStyle w:val="Heading1"/>
      </w:pPr>
      <w:r>
        <w:t>4. Follow-up Burden &amp; Telemedicine Adoption Gap</w:t>
      </w:r>
    </w:p>
    <w:p w14:paraId="15203823" w14:textId="77777777" w:rsidR="0053553D" w:rsidRDefault="00000000">
      <w:pPr>
        <w:spacing w:after="160"/>
      </w:pPr>
      <w:r>
        <w:t>Restricting to the top quartile of diagnoses by volume (to avoid low-volume diagnoses producing misleadingly extreme ratios), two patterns stand out:</w:t>
      </w:r>
    </w:p>
    <w:p w14:paraId="15203824" w14:textId="77777777" w:rsidR="0053553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High follow-up burden: several malignant neoplasm subtypes and chronic conditions (e.g. myelodysplastic syndromes, chronic myeloid leukaemia) generate many follow-up attendances per first attendance - consistent with expected long-term oncology/haematology surveillance, but worth confirming these patients are on the most efficient review cadence.</w:t>
      </w:r>
    </w:p>
    <w:p w14:paraId="15203825" w14:textId="77777777" w:rsidR="0053553D" w:rsidRDefault="00000000">
      <w:pPr>
        <w:pStyle w:val="ListParagraph"/>
        <w:numPr>
          <w:ilvl w:val="0"/>
          <w:numId w:val="2"/>
        </w:numPr>
        <w:spacing w:after="80"/>
      </w:pPr>
      <w:r>
        <w:t>Telemedicine adoption gap: several high-volume diagnoses - including cataract-related conditions, dental conditions, and certain follow-up/orthopaedic reviews - show 0% telemedicine usage despite being high-volume, low-complexity follow-up activity well suited to remote review.</w:t>
      </w:r>
    </w:p>
    <w:p w14:paraId="15203826" w14:textId="77777777" w:rsidR="0053553D" w:rsidRDefault="00000000">
      <w:pPr>
        <w:spacing w:after="160"/>
      </w:pPr>
      <w:r>
        <w:t>A composite priority score (40% volume + 30% follow-up burden + 30% low tele-adoption, equal-</w:t>
      </w:r>
      <w:proofErr w:type="spellStart"/>
      <w:r>
        <w:t>ish</w:t>
      </w:r>
      <w:proofErr w:type="spellEnd"/>
      <w:r>
        <w:t xml:space="preserve"> weighting stated explicitly so it can be challenged and adjusted) was used to rank diagnoses for action. The top-ranked diagnoses for combined volume, follow-up burden and digital opportunity include screening/surveillance pathways, gastrointestinal symptom presentations, and certain cardiovascular and digestive conditions - see the accompanying Power BI dashboard and CSV export for the full ranked list, as this updates if the underlying weighting is revised.</w:t>
      </w:r>
    </w:p>
    <w:p w14:paraId="15203827" w14:textId="77777777" w:rsidR="0053553D" w:rsidRDefault="00000000">
      <w:pPr>
        <w:pStyle w:val="Heading1"/>
      </w:pPr>
      <w:r>
        <w:t>5. Recommendations</w:t>
      </w:r>
    </w:p>
    <w:p w14:paraId="15203828" w14:textId="77777777" w:rsidR="0053553D" w:rsidRDefault="00000000">
      <w:pPr>
        <w:pStyle w:val="ListParagraph"/>
        <w:numPr>
          <w:ilvl w:val="0"/>
          <w:numId w:val="3"/>
        </w:numPr>
        <w:spacing w:after="80"/>
      </w:pPr>
      <w:r>
        <w:t>Investigate diagnosis-coding completeness as the top priority. Commission a trust-level and specialty-level breakdown of the 92.1% "unknown diagnosis" attendances to find where and why coding is failing, before using diagnosis-level data for major resourcing decisions.</w:t>
      </w:r>
    </w:p>
    <w:p w14:paraId="15203829" w14:textId="77777777" w:rsidR="0053553D" w:rsidRDefault="00000000">
      <w:pPr>
        <w:pStyle w:val="ListParagraph"/>
        <w:numPr>
          <w:ilvl w:val="0"/>
          <w:numId w:val="3"/>
        </w:numPr>
        <w:spacing w:after="80"/>
      </w:pPr>
      <w:r>
        <w:t>Pilot PIFU / patient-initiated follow-up for the highest-volume, most stable pathways (cataract follow-up, macular degeneration review) identified in Section 3, to reduce unnecessary routine follow-up capacity demand.</w:t>
      </w:r>
    </w:p>
    <w:p w14:paraId="1520382A" w14:textId="77777777" w:rsidR="0053553D" w:rsidRDefault="00000000">
      <w:pPr>
        <w:pStyle w:val="ListParagraph"/>
        <w:numPr>
          <w:ilvl w:val="0"/>
          <w:numId w:val="3"/>
        </w:numPr>
        <w:spacing w:after="80"/>
      </w:pPr>
      <w:r>
        <w:t>Target telemedicine expansion at the specific high-volume, 0%-adoption diagnoses identified in Section 4 - these are the most defensible, evidence-based starting point for a digital-first pilot, rather than a blanket "move everything to video" policy.</w:t>
      </w:r>
    </w:p>
    <w:p w14:paraId="1520382B" w14:textId="77777777" w:rsidR="0053553D" w:rsidRDefault="00000000">
      <w:pPr>
        <w:pStyle w:val="ListParagraph"/>
        <w:numPr>
          <w:ilvl w:val="0"/>
          <w:numId w:val="3"/>
        </w:numPr>
        <w:spacing w:after="80"/>
      </w:pPr>
      <w:r>
        <w:t>Review follow-up cadence for high-burden chronic/oncology diagnoses to confirm patients are on optimal, not just default, review intervals.</w:t>
      </w:r>
    </w:p>
    <w:p w14:paraId="1520382C" w14:textId="77777777" w:rsidR="0053553D" w:rsidRDefault="00000000">
      <w:pPr>
        <w:pStyle w:val="ListParagraph"/>
        <w:numPr>
          <w:ilvl w:val="0"/>
          <w:numId w:val="3"/>
        </w:numPr>
        <w:spacing w:after="80"/>
      </w:pPr>
      <w:r>
        <w:t>Re-run this analysis quarterly using NHS England's published outpatient activity releases, once available, to convert this static snapshot into a trend - particularly to track whether diagnosis-coding completeness and telemedicine adoption are improving over time.</w:t>
      </w:r>
    </w:p>
    <w:p w14:paraId="1520382D" w14:textId="77777777" w:rsidR="0053553D" w:rsidRDefault="00000000">
      <w:pPr>
        <w:pStyle w:val="Heading1"/>
      </w:pPr>
      <w:r>
        <w:t>6. Illustrative Impact (indicative, not a forecast)</w:t>
      </w:r>
    </w:p>
    <w:p w14:paraId="1520382E" w14:textId="77777777" w:rsidR="0053553D" w:rsidRDefault="00000000">
      <w:pPr>
        <w:spacing w:after="160"/>
      </w:pPr>
      <w:r>
        <w:t>As a rough order-of-magnitude estimate: shifting just 10% of subsequent in-person appointments to telemedicine for the five highest-priority diagnoses identified would free an estimated 50 in-person clinic slots in this dataset alone. This figure is illustrative - it assumes no change in clinical appropriateness and should be validated with clinical leads before being used as a planning target. The real value of this work is the prioritised list of where to investigate, not this single number.</w:t>
      </w:r>
    </w:p>
    <w:p w14:paraId="1520382F" w14:textId="77777777" w:rsidR="0053553D" w:rsidRDefault="00000000">
      <w:pPr>
        <w:pStyle w:val="Heading1"/>
      </w:pPr>
      <w:r>
        <w:t>7. Data, Method &amp; Limitations</w:t>
      </w:r>
    </w:p>
    <w:p w14:paraId="15203830" w14:textId="77777777" w:rsidR="0053553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Source: a single national snapshot of outpatient attendances by primary diagnosis (ICD-10 coded), no time dimension, no trust-level breakdown.</w:t>
      </w:r>
    </w:p>
    <w:p w14:paraId="15203831" w14:textId="77777777" w:rsidR="0053553D" w:rsidRDefault="00000000">
      <w:pPr>
        <w:pStyle w:val="ListParagraph"/>
        <w:numPr>
          <w:ilvl w:val="0"/>
          <w:numId w:val="2"/>
        </w:numPr>
        <w:spacing w:after="80"/>
      </w:pPr>
      <w:r>
        <w:t>"Total Activity" and "Unknown and unspecified causes of morbidity" were excluded from diagnosis-level rankings (they are not real diagnoses) but reported separately as the headline data-quality finding, not discarded.</w:t>
      </w:r>
    </w:p>
    <w:p w14:paraId="15203832" w14:textId="77777777" w:rsidR="0053553D" w:rsidRDefault="00000000">
      <w:pPr>
        <w:pStyle w:val="ListParagraph"/>
        <w:numPr>
          <w:ilvl w:val="0"/>
          <w:numId w:val="2"/>
        </w:numPr>
        <w:spacing w:after="80"/>
      </w:pPr>
      <w:r>
        <w:t>Follow-up and telemedicine-adoption rankings were restricted to the top quartile of diagnoses by volume, to prevent low-volume diagnoses (e.g. a single attendance) producing statistically extreme but meaningless ratios.</w:t>
      </w:r>
    </w:p>
    <w:p w14:paraId="15203833" w14:textId="77777777" w:rsidR="0053553D" w:rsidRDefault="00000000">
      <w:pPr>
        <w:pStyle w:val="ListParagraph"/>
        <w:numPr>
          <w:ilvl w:val="0"/>
          <w:numId w:val="2"/>
        </w:numPr>
        <w:spacing w:after="80"/>
      </w:pPr>
      <w:r>
        <w:t>The priority score uses percentile ranks (robust to outliers) with an explicit, adjustable weighting (40/30/30) rather than raw values, so the methodology can be challenged and re-weighted by stakeholders.</w:t>
      </w:r>
    </w:p>
    <w:p w14:paraId="15203834" w14:textId="77777777" w:rsidR="0053553D" w:rsidRDefault="00000000">
      <w:pPr>
        <w:pStyle w:val="ListParagraph"/>
        <w:numPr>
          <w:ilvl w:val="0"/>
          <w:numId w:val="2"/>
        </w:numPr>
        <w:spacing w:after="80"/>
      </w:pPr>
      <w:r>
        <w:t>Because no time series or trust-level data is included, this report cannot speak to trends over time or geographic variation - both recommended as next steps if a multi-period or trust-level dataset becomes available.</w:t>
      </w:r>
    </w:p>
    <w:sectPr w:rsidR="0053553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C36E8" w14:textId="77777777" w:rsidR="003F47B8" w:rsidRDefault="003F47B8">
      <w:r>
        <w:separator/>
      </w:r>
    </w:p>
  </w:endnote>
  <w:endnote w:type="continuationSeparator" w:id="0">
    <w:p w14:paraId="230CC586" w14:textId="77777777" w:rsidR="003F47B8" w:rsidRDefault="003F4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3836" w14:textId="74F2E41A" w:rsidR="0053553D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90D4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0C964" w14:textId="77777777" w:rsidR="003F47B8" w:rsidRDefault="003F47B8">
      <w:r>
        <w:separator/>
      </w:r>
    </w:p>
  </w:footnote>
  <w:footnote w:type="continuationSeparator" w:id="0">
    <w:p w14:paraId="017B3E02" w14:textId="77777777" w:rsidR="003F47B8" w:rsidRDefault="003F4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3835" w14:textId="77777777" w:rsidR="0053553D" w:rsidRDefault="00000000">
    <w:pPr>
      <w:jc w:val="right"/>
    </w:pPr>
    <w:r>
      <w:rPr>
        <w:color w:val="595959"/>
        <w:sz w:val="16"/>
        <w:szCs w:val="16"/>
      </w:rPr>
      <w:t>NHS Outpatient Capacity &amp; Digital-First Priorities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7EF7"/>
    <w:multiLevelType w:val="hybridMultilevel"/>
    <w:tmpl w:val="24C04BF4"/>
    <w:lvl w:ilvl="0" w:tplc="1E2CFF5C">
      <w:start w:val="1"/>
      <w:numFmt w:val="decimal"/>
      <w:lvlText w:val="%1."/>
      <w:lvlJc w:val="left"/>
      <w:pPr>
        <w:ind w:left="720" w:hanging="360"/>
      </w:pPr>
    </w:lvl>
    <w:lvl w:ilvl="1" w:tplc="0AA46FF6">
      <w:numFmt w:val="decimal"/>
      <w:lvlText w:val=""/>
      <w:lvlJc w:val="left"/>
    </w:lvl>
    <w:lvl w:ilvl="2" w:tplc="90CEC9D0">
      <w:numFmt w:val="decimal"/>
      <w:lvlText w:val=""/>
      <w:lvlJc w:val="left"/>
    </w:lvl>
    <w:lvl w:ilvl="3" w:tplc="CA62BFFE">
      <w:numFmt w:val="decimal"/>
      <w:lvlText w:val=""/>
      <w:lvlJc w:val="left"/>
    </w:lvl>
    <w:lvl w:ilvl="4" w:tplc="03B800FC">
      <w:numFmt w:val="decimal"/>
      <w:lvlText w:val=""/>
      <w:lvlJc w:val="left"/>
    </w:lvl>
    <w:lvl w:ilvl="5" w:tplc="00263346">
      <w:numFmt w:val="decimal"/>
      <w:lvlText w:val=""/>
      <w:lvlJc w:val="left"/>
    </w:lvl>
    <w:lvl w:ilvl="6" w:tplc="55B221C4">
      <w:numFmt w:val="decimal"/>
      <w:lvlText w:val=""/>
      <w:lvlJc w:val="left"/>
    </w:lvl>
    <w:lvl w:ilvl="7" w:tplc="C26AFF56">
      <w:numFmt w:val="decimal"/>
      <w:lvlText w:val=""/>
      <w:lvlJc w:val="left"/>
    </w:lvl>
    <w:lvl w:ilvl="8" w:tplc="500A0CCA">
      <w:numFmt w:val="decimal"/>
      <w:lvlText w:val=""/>
      <w:lvlJc w:val="left"/>
    </w:lvl>
  </w:abstractNum>
  <w:abstractNum w:abstractNumId="1" w15:restartNumberingAfterBreak="0">
    <w:nsid w:val="100B3BC1"/>
    <w:multiLevelType w:val="hybridMultilevel"/>
    <w:tmpl w:val="08EEE45C"/>
    <w:lvl w:ilvl="0" w:tplc="43E88A68">
      <w:start w:val="1"/>
      <w:numFmt w:val="bullet"/>
      <w:lvlText w:val="●"/>
      <w:lvlJc w:val="left"/>
      <w:pPr>
        <w:ind w:left="720" w:hanging="360"/>
      </w:pPr>
    </w:lvl>
    <w:lvl w:ilvl="1" w:tplc="4EBAB04A">
      <w:start w:val="1"/>
      <w:numFmt w:val="bullet"/>
      <w:lvlText w:val="○"/>
      <w:lvlJc w:val="left"/>
      <w:pPr>
        <w:ind w:left="1440" w:hanging="360"/>
      </w:pPr>
    </w:lvl>
    <w:lvl w:ilvl="2" w:tplc="7700C89E">
      <w:start w:val="1"/>
      <w:numFmt w:val="bullet"/>
      <w:lvlText w:val="■"/>
      <w:lvlJc w:val="left"/>
      <w:pPr>
        <w:ind w:left="2160" w:hanging="360"/>
      </w:pPr>
    </w:lvl>
    <w:lvl w:ilvl="3" w:tplc="ED86EE7E">
      <w:start w:val="1"/>
      <w:numFmt w:val="bullet"/>
      <w:lvlText w:val="●"/>
      <w:lvlJc w:val="left"/>
      <w:pPr>
        <w:ind w:left="2880" w:hanging="360"/>
      </w:pPr>
    </w:lvl>
    <w:lvl w:ilvl="4" w:tplc="DEBEC7F8">
      <w:start w:val="1"/>
      <w:numFmt w:val="bullet"/>
      <w:lvlText w:val="○"/>
      <w:lvlJc w:val="left"/>
      <w:pPr>
        <w:ind w:left="3600" w:hanging="360"/>
      </w:pPr>
    </w:lvl>
    <w:lvl w:ilvl="5" w:tplc="1E6EC922">
      <w:start w:val="1"/>
      <w:numFmt w:val="bullet"/>
      <w:lvlText w:val="■"/>
      <w:lvlJc w:val="left"/>
      <w:pPr>
        <w:ind w:left="4320" w:hanging="360"/>
      </w:pPr>
    </w:lvl>
    <w:lvl w:ilvl="6" w:tplc="B9545F2C">
      <w:start w:val="1"/>
      <w:numFmt w:val="bullet"/>
      <w:lvlText w:val="●"/>
      <w:lvlJc w:val="left"/>
      <w:pPr>
        <w:ind w:left="5040" w:hanging="360"/>
      </w:pPr>
    </w:lvl>
    <w:lvl w:ilvl="7" w:tplc="79B20074">
      <w:start w:val="1"/>
      <w:numFmt w:val="bullet"/>
      <w:lvlText w:val="●"/>
      <w:lvlJc w:val="left"/>
      <w:pPr>
        <w:ind w:left="5760" w:hanging="360"/>
      </w:pPr>
    </w:lvl>
    <w:lvl w:ilvl="8" w:tplc="CFC44E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B50D9A"/>
    <w:multiLevelType w:val="hybridMultilevel"/>
    <w:tmpl w:val="F356EB0A"/>
    <w:lvl w:ilvl="0" w:tplc="A1E2EE9E">
      <w:start w:val="1"/>
      <w:numFmt w:val="bullet"/>
      <w:lvlText w:val="•"/>
      <w:lvlJc w:val="left"/>
      <w:pPr>
        <w:ind w:left="720" w:hanging="360"/>
      </w:pPr>
    </w:lvl>
    <w:lvl w:ilvl="1" w:tplc="C9100A90">
      <w:numFmt w:val="decimal"/>
      <w:lvlText w:val=""/>
      <w:lvlJc w:val="left"/>
    </w:lvl>
    <w:lvl w:ilvl="2" w:tplc="9E2C9C52">
      <w:numFmt w:val="decimal"/>
      <w:lvlText w:val=""/>
      <w:lvlJc w:val="left"/>
    </w:lvl>
    <w:lvl w:ilvl="3" w:tplc="A12C976A">
      <w:numFmt w:val="decimal"/>
      <w:lvlText w:val=""/>
      <w:lvlJc w:val="left"/>
    </w:lvl>
    <w:lvl w:ilvl="4" w:tplc="4A3AFE1A">
      <w:numFmt w:val="decimal"/>
      <w:lvlText w:val=""/>
      <w:lvlJc w:val="left"/>
    </w:lvl>
    <w:lvl w:ilvl="5" w:tplc="F62464B8">
      <w:numFmt w:val="decimal"/>
      <w:lvlText w:val=""/>
      <w:lvlJc w:val="left"/>
    </w:lvl>
    <w:lvl w:ilvl="6" w:tplc="743A4A66">
      <w:numFmt w:val="decimal"/>
      <w:lvlText w:val=""/>
      <w:lvlJc w:val="left"/>
    </w:lvl>
    <w:lvl w:ilvl="7" w:tplc="7D9A08CE">
      <w:numFmt w:val="decimal"/>
      <w:lvlText w:val=""/>
      <w:lvlJc w:val="left"/>
    </w:lvl>
    <w:lvl w:ilvl="8" w:tplc="03704320">
      <w:numFmt w:val="decimal"/>
      <w:lvlText w:val=""/>
      <w:lvlJc w:val="left"/>
    </w:lvl>
  </w:abstractNum>
  <w:num w:numId="1" w16cid:durableId="1159343584">
    <w:abstractNumId w:val="1"/>
    <w:lvlOverride w:ilvl="0">
      <w:startOverride w:val="1"/>
    </w:lvlOverride>
  </w:num>
  <w:num w:numId="2" w16cid:durableId="1123422750">
    <w:abstractNumId w:val="2"/>
    <w:lvlOverride w:ilvl="0">
      <w:startOverride w:val="1"/>
    </w:lvlOverride>
  </w:num>
  <w:num w:numId="3" w16cid:durableId="936711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53D"/>
    <w:rsid w:val="002105B6"/>
    <w:rsid w:val="003F47B8"/>
    <w:rsid w:val="0053553D"/>
    <w:rsid w:val="0069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037DF"/>
  <w15:docId w15:val="{C51B1487-6ACC-4CA1-A070-01B00AA8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80"/>
      <w:outlineLvl w:val="0"/>
    </w:pPr>
    <w:rPr>
      <w:b/>
      <w:bCs/>
      <w:color w:val="003087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40"/>
      <w:outlineLvl w:val="1"/>
    </w:pPr>
    <w:rPr>
      <w:b/>
      <w:bCs/>
      <w:color w:val="0072C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1248</Words>
  <Characters>7114</Characters>
  <Application>Microsoft Office Word</Application>
  <DocSecurity>0</DocSecurity>
  <Lines>59</Lines>
  <Paragraphs>16</Paragraphs>
  <ScaleCrop>false</ScaleCrop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Sanjai Kanna.</cp:lastModifiedBy>
  <cp:revision>2</cp:revision>
  <dcterms:created xsi:type="dcterms:W3CDTF">2026-06-25T14:38:00Z</dcterms:created>
  <dcterms:modified xsi:type="dcterms:W3CDTF">2026-07-01T23:38:00Z</dcterms:modified>
</cp:coreProperties>
</file>