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i/>
          <w:iCs/>
          <w:color w:val="808080"/>
          <w:sz w:val="22"/>
          <w:szCs w:val="22"/>
        </w:rPr>
        <w:t xml:space="preserve">Data Analytics Project Documentation</w:t>
      </w:r>
    </w:p>
    <w:p>
      <w:pPr>
        <w:spacing w:after="60"/>
      </w:pPr>
      <w:r>
        <w:rPr>
          <w:b/>
          <w:bCs/>
          <w:color w:val="1F3864"/>
          <w:sz w:val="36"/>
          <w:szCs w:val="36"/>
        </w:rPr>
        <w:t xml:space="preserve">HR Payroll &amp; Workforce Analytics — Power BI Dashboard</w:t>
      </w:r>
    </w:p>
    <w:p>
      <w:pPr>
        <w:pBdr>
          <w:bottom w:val="single" w:color="2E74B5" w:sz="12" w:space="6"/>
        </w:pBdr>
        <w:spacing w:after="300"/>
      </w:pPr>
      <w:r>
        <w:rPr>
          <w:color w:val="595959"/>
          <w:sz w:val="22"/>
          <w:szCs w:val="22"/>
        </w:rPr>
        <w:t xml:space="preserve">Employee, Department &amp; Payroll Data | Power BI Desktop (.pbix)</w:t>
      </w:r>
    </w:p>
    <w:p>
      <w:pPr>
        <w:pStyle w:val="Heading1"/>
        <w:pBdr>
          <w:bottom w:val="single" w:color="2E74B5" w:sz="6" w:space="4"/>
        </w:pBdr>
        <w:spacing w:after="160" w:before="360"/>
      </w:pPr>
      <w:r>
        <w:rPr>
          <w:b/>
          <w:bCs/>
          <w:color w:val="1F3864"/>
          <w:sz w:val="30"/>
          <w:szCs w:val="30"/>
        </w:rPr>
        <w:t xml:space="preserve">1. Project Overview</w:t>
      </w:r>
    </w:p>
    <w:p>
      <w:pPr>
        <w:spacing w:after="160" w:line="300"/>
      </w:pPr>
      <w:r>
        <w:rPr>
          <w:sz w:val="22"/>
          <w:szCs w:val="22"/>
        </w:rPr>
        <w:t xml:space="preserve">This project is an interactive Power BI dashboard analyzing employee, department, and payroll data for a company's HR function. The data was modeled into a relational schema linking employee records, department information, and salary transactions, then presented across five report pages covering an executive summary, employee demographics, payroll breakdowns, department comparisons, and a drill-through view for individual salary history.</w:t>
      </w:r>
    </w:p>
    <w:p>
      <w:pPr>
        <w:spacing w:after="160" w:line="300"/>
      </w:pPr>
      <w:r>
        <w:rPr>
          <w:sz w:val="22"/>
          <w:szCs w:val="22"/>
        </w:rPr>
        <w:t xml:space="preserve">The goal is to give HR stakeholders a single interactive tool to monitor headcount, payroll cost, and departmental pay trends, and to drill into individual employees' salary details when needed.</w:t>
      </w:r>
    </w:p>
    <w:p>
      <w:pPr>
        <w:pStyle w:val="Heading1"/>
        <w:pBdr>
          <w:bottom w:val="single" w:color="2E74B5" w:sz="6" w:space="4"/>
        </w:pBdr>
        <w:spacing w:after="160" w:before="360"/>
      </w:pPr>
      <w:r>
        <w:rPr>
          <w:b/>
          <w:bCs/>
          <w:color w:val="1F3864"/>
          <w:sz w:val="30"/>
          <w:szCs w:val="30"/>
        </w:rPr>
        <w:t xml:space="preserve">2. Objective</w:t>
      </w:r>
    </w:p>
    <w:p>
      <w:pPr>
        <w:pStyle w:val="ListParagraph"/>
        <w:numPr>
          <w:ilvl w:val="0"/>
          <w:numId w:val="1"/>
        </w:numPr>
        <w:spacing w:after="80" w:line="280"/>
      </w:pPr>
      <w:r>
        <w:rPr>
          <w:sz w:val="22"/>
          <w:szCs w:val="22"/>
        </w:rPr>
        <w:t xml:space="preserve">Model employee, department, and salary data into a connected Power BI data model.</w:t>
      </w:r>
    </w:p>
    <w:p>
      <w:pPr>
        <w:pStyle w:val="ListParagraph"/>
        <w:numPr>
          <w:ilvl w:val="0"/>
          <w:numId w:val="1"/>
        </w:numPr>
        <w:spacing w:after="80" w:line="280"/>
      </w:pPr>
      <w:r>
        <w:rPr>
          <w:sz w:val="22"/>
          <w:szCs w:val="22"/>
        </w:rPr>
        <w:t xml:space="preserve">Track core workforce KPIs: total employees, gender split, and department headcount.</w:t>
      </w:r>
    </w:p>
    <w:p>
      <w:pPr>
        <w:pStyle w:val="ListParagraph"/>
        <w:numPr>
          <w:ilvl w:val="0"/>
          <w:numId w:val="1"/>
        </w:numPr>
        <w:spacing w:after="80" w:line="280"/>
      </w:pPr>
      <w:r>
        <w:rPr>
          <w:sz w:val="22"/>
          <w:szCs w:val="22"/>
        </w:rPr>
        <w:t xml:space="preserve">Track core payroll KPIs: total and average net salary, basic salary, bonus, commission, and deductions.</w:t>
      </w:r>
    </w:p>
    <w:p>
      <w:pPr>
        <w:pStyle w:val="ListParagraph"/>
        <w:numPr>
          <w:ilvl w:val="0"/>
          <w:numId w:val="1"/>
        </w:numPr>
        <w:spacing w:after="80" w:line="280"/>
      </w:pPr>
      <w:r>
        <w:rPr>
          <w:sz w:val="22"/>
          <w:szCs w:val="22"/>
        </w:rPr>
        <w:t xml:space="preserve">Compare payroll cost and headcount across departments and locations.</w:t>
      </w:r>
    </w:p>
    <w:p>
      <w:pPr>
        <w:pStyle w:val="ListParagraph"/>
        <w:numPr>
          <w:ilvl w:val="0"/>
          <w:numId w:val="1"/>
        </w:numPr>
        <w:spacing w:after="80" w:line="280"/>
      </w:pPr>
      <w:r>
        <w:rPr>
          <w:sz w:val="22"/>
          <w:szCs w:val="22"/>
        </w:rPr>
        <w:t xml:space="preserve">Monitor payroll and bonus trends over time (by month/quarter/year).</w:t>
      </w:r>
    </w:p>
    <w:p>
      <w:pPr>
        <w:pStyle w:val="ListParagraph"/>
        <w:numPr>
          <w:ilvl w:val="0"/>
          <w:numId w:val="1"/>
        </w:numPr>
        <w:spacing w:after="80" w:line="280"/>
      </w:pPr>
      <w:r>
        <w:rPr>
          <w:sz w:val="22"/>
          <w:szCs w:val="22"/>
        </w:rPr>
        <w:t xml:space="preserve">Enable drill-through from summary views to individual employee salary history.</w:t>
      </w:r>
    </w:p>
    <w:p>
      <w:pPr>
        <w:pStyle w:val="Heading1"/>
        <w:pBdr>
          <w:bottom w:val="single" w:color="2E74B5" w:sz="6" w:space="4"/>
        </w:pBdr>
        <w:spacing w:after="160" w:before="360"/>
      </w:pPr>
      <w:r>
        <w:rPr>
          <w:b/>
          <w:bCs/>
          <w:color w:val="1F3864"/>
          <w:sz w:val="30"/>
          <w:szCs w:val="30"/>
        </w:rPr>
        <w:t xml:space="preserve">3. Dataset Information</w:t>
      </w:r>
    </w:p>
    <w:p>
      <w:pPr>
        <w:spacing w:after="100" w:before="200"/>
      </w:pPr>
      <w:r>
        <w:rPr>
          <w:b/>
          <w:bCs/>
          <w:color w:val="2E74B5"/>
          <w:sz w:val="23"/>
          <w:szCs w:val="23"/>
        </w:rPr>
        <w:t xml:space="preserve">Data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50"/>
      </w:tblGrid>
      <w:tr>
        <w:trPr>
          <w:tblHeader/>
        </w:trPr>
        <w:tc>
          <w:tcPr>
            <w:tcW w:type="dxa" w:w="2600"/>
            <w:shd w:fill="1F3864" w:color="auto" w:val="clear"/>
            <w:tcMar>
              <w:top w:type="dxa" w:w="80"/>
              <w:left w:type="dxa" w:w="100"/>
              <w:bottom w:type="dxa" w:w="80"/>
              <w:right w:type="dxa" w:w="100"/>
            </w:tcMar>
          </w:tcPr>
          <w:p>
            <w:r>
              <w:rPr>
                <w:b/>
                <w:bCs/>
                <w:color w:val="FFFFFF"/>
                <w:sz w:val="20"/>
                <w:szCs w:val="20"/>
              </w:rPr>
              <w:t xml:space="preserve">Table</w:t>
            </w:r>
          </w:p>
        </w:tc>
        <w:tc>
          <w:tcPr>
            <w:tcW w:type="dxa" w:w="2200"/>
            <w:shd w:fill="1F3864" w:color="auto" w:val="clear"/>
            <w:tcMar>
              <w:top w:type="dxa" w:w="80"/>
              <w:left w:type="dxa" w:w="100"/>
              <w:bottom w:type="dxa" w:w="80"/>
              <w:right w:type="dxa" w:w="100"/>
            </w:tcMar>
          </w:tcPr>
          <w:p>
            <w:r>
              <w:rPr>
                <w:b/>
                <w:bCs/>
                <w:color w:val="FFFFFF"/>
                <w:sz w:val="20"/>
                <w:szCs w:val="20"/>
              </w:rPr>
              <w:t xml:space="preserve">Type</w:t>
            </w:r>
          </w:p>
        </w:tc>
        <w:tc>
          <w:tcPr>
            <w:tcW w:type="dxa" w:w="4550"/>
            <w:shd w:fill="1F3864" w:color="auto" w:val="clear"/>
            <w:tcMar>
              <w:top w:type="dxa" w:w="80"/>
              <w:left w:type="dxa" w:w="100"/>
              <w:bottom w:type="dxa" w:w="80"/>
              <w:right w:type="dxa" w:w="100"/>
            </w:tcMar>
          </w:tcPr>
          <w:p>
            <w:r>
              <w:rPr>
                <w:b/>
                <w:bCs/>
                <w:color w:val="FFFFFF"/>
                <w:sz w:val="20"/>
                <w:szCs w:val="20"/>
              </w:rPr>
              <w:t xml:space="preserve">Key Fields</w:t>
            </w:r>
          </w:p>
        </w:tc>
      </w:tr>
      <w:tr>
        <w:tc>
          <w:tcPr>
            <w:tcW w:type="dxa" w:w="2600"/>
            <w:shd w:fill="FFFFFF" w:color="auto" w:val="clear"/>
            <w:tcMar>
              <w:top w:type="dxa" w:w="70"/>
              <w:left w:type="dxa" w:w="100"/>
              <w:bottom w:type="dxa" w:w="70"/>
              <w:right w:type="dxa" w:w="100"/>
            </w:tcMar>
          </w:tcPr>
          <w:p>
            <w:r>
              <w:rPr>
                <w:sz w:val="20"/>
                <w:szCs w:val="20"/>
              </w:rPr>
              <w:t xml:space="preserve">fact_salary_dataset</w:t>
            </w:r>
          </w:p>
        </w:tc>
        <w:tc>
          <w:tcPr>
            <w:tcW w:type="dxa" w:w="2200"/>
            <w:shd w:fill="FFFFFF" w:color="auto" w:val="clear"/>
            <w:tcMar>
              <w:top w:type="dxa" w:w="70"/>
              <w:left w:type="dxa" w:w="100"/>
              <w:bottom w:type="dxa" w:w="70"/>
              <w:right w:type="dxa" w:w="100"/>
            </w:tcMar>
          </w:tcPr>
          <w:p>
            <w:r>
              <w:rPr>
                <w:sz w:val="20"/>
                <w:szCs w:val="20"/>
              </w:rPr>
              <w:t xml:space="preserve">Fact</w:t>
            </w:r>
          </w:p>
        </w:tc>
        <w:tc>
          <w:tcPr>
            <w:tcW w:type="dxa" w:w="4550"/>
            <w:shd w:fill="FFFFFF" w:color="auto" w:val="clear"/>
            <w:tcMar>
              <w:top w:type="dxa" w:w="70"/>
              <w:left w:type="dxa" w:w="100"/>
              <w:bottom w:type="dxa" w:w="70"/>
              <w:right w:type="dxa" w:w="100"/>
            </w:tcMar>
          </w:tcPr>
          <w:p>
            <w:r>
              <w:rPr>
                <w:sz w:val="20"/>
                <w:szCs w:val="20"/>
              </w:rPr>
              <w:t xml:space="preserve">EmployeeID, SalaryDate, BasicSalary, Bonus, Commission, Deductions, NetSalary</w:t>
            </w:r>
          </w:p>
        </w:tc>
      </w:tr>
      <w:tr>
        <w:tc>
          <w:tcPr>
            <w:tcW w:type="dxa" w:w="2600"/>
            <w:shd w:fill="F2F2F2" w:color="auto" w:val="clear"/>
            <w:tcMar>
              <w:top w:type="dxa" w:w="70"/>
              <w:left w:type="dxa" w:w="100"/>
              <w:bottom w:type="dxa" w:w="70"/>
              <w:right w:type="dxa" w:w="100"/>
            </w:tcMar>
          </w:tcPr>
          <w:p>
            <w:r>
              <w:rPr>
                <w:sz w:val="20"/>
                <w:szCs w:val="20"/>
              </w:rPr>
              <w:t xml:space="preserve">employee_dataset</w:t>
            </w:r>
          </w:p>
        </w:tc>
        <w:tc>
          <w:tcPr>
            <w:tcW w:type="dxa" w:w="2200"/>
            <w:shd w:fill="F2F2F2" w:color="auto" w:val="clear"/>
            <w:tcMar>
              <w:top w:type="dxa" w:w="70"/>
              <w:left w:type="dxa" w:w="100"/>
              <w:bottom w:type="dxa" w:w="70"/>
              <w:right w:type="dxa" w:w="100"/>
            </w:tcMar>
          </w:tcPr>
          <w:p>
            <w:r>
              <w:rPr>
                <w:sz w:val="20"/>
                <w:szCs w:val="20"/>
              </w:rPr>
              <w:t xml:space="preserve">Dimension</w:t>
            </w:r>
          </w:p>
        </w:tc>
        <w:tc>
          <w:tcPr>
            <w:tcW w:type="dxa" w:w="4550"/>
            <w:shd w:fill="F2F2F2" w:color="auto" w:val="clear"/>
            <w:tcMar>
              <w:top w:type="dxa" w:w="70"/>
              <w:left w:type="dxa" w:w="100"/>
              <w:bottom w:type="dxa" w:w="70"/>
              <w:right w:type="dxa" w:w="100"/>
            </w:tcMar>
          </w:tcPr>
          <w:p>
            <w:r>
              <w:rPr>
                <w:sz w:val="20"/>
                <w:szCs w:val="20"/>
              </w:rPr>
              <w:t xml:space="preserve">EmpID, EmpName, Gender, Designation</w:t>
            </w:r>
          </w:p>
        </w:tc>
      </w:tr>
      <w:tr>
        <w:tc>
          <w:tcPr>
            <w:tcW w:type="dxa" w:w="2600"/>
            <w:shd w:fill="FFFFFF" w:color="auto" w:val="clear"/>
            <w:tcMar>
              <w:top w:type="dxa" w:w="70"/>
              <w:left w:type="dxa" w:w="100"/>
              <w:bottom w:type="dxa" w:w="70"/>
              <w:right w:type="dxa" w:w="100"/>
            </w:tcMar>
          </w:tcPr>
          <w:p>
            <w:r>
              <w:rPr>
                <w:sz w:val="20"/>
                <w:szCs w:val="20"/>
              </w:rPr>
              <w:t xml:space="preserve">dept_dataset</w:t>
            </w:r>
          </w:p>
        </w:tc>
        <w:tc>
          <w:tcPr>
            <w:tcW w:type="dxa" w:w="2200"/>
            <w:shd w:fill="FFFFFF" w:color="auto" w:val="clear"/>
            <w:tcMar>
              <w:top w:type="dxa" w:w="70"/>
              <w:left w:type="dxa" w:w="100"/>
              <w:bottom w:type="dxa" w:w="70"/>
              <w:right w:type="dxa" w:w="100"/>
            </w:tcMar>
          </w:tcPr>
          <w:p>
            <w:r>
              <w:rPr>
                <w:sz w:val="20"/>
                <w:szCs w:val="20"/>
              </w:rPr>
              <w:t xml:space="preserve">Dimension</w:t>
            </w:r>
          </w:p>
        </w:tc>
        <w:tc>
          <w:tcPr>
            <w:tcW w:type="dxa" w:w="4550"/>
            <w:shd w:fill="FFFFFF" w:color="auto" w:val="clear"/>
            <w:tcMar>
              <w:top w:type="dxa" w:w="70"/>
              <w:left w:type="dxa" w:w="100"/>
              <w:bottom w:type="dxa" w:w="70"/>
              <w:right w:type="dxa" w:w="100"/>
            </w:tcMar>
          </w:tcPr>
          <w:p>
            <w:r>
              <w:rPr>
                <w:sz w:val="20"/>
                <w:szCs w:val="20"/>
              </w:rPr>
              <w:t xml:space="preserve">DeptName, Location</w:t>
            </w:r>
          </w:p>
        </w:tc>
      </w:tr>
      <w:tr>
        <w:tc>
          <w:tcPr>
            <w:tcW w:type="dxa" w:w="2600"/>
            <w:shd w:fill="F2F2F2" w:color="auto" w:val="clear"/>
            <w:tcMar>
              <w:top w:type="dxa" w:w="70"/>
              <w:left w:type="dxa" w:w="100"/>
              <w:bottom w:type="dxa" w:w="70"/>
              <w:right w:type="dxa" w:w="100"/>
            </w:tcMar>
          </w:tcPr>
          <w:p>
            <w:r>
              <w:rPr>
                <w:sz w:val="20"/>
                <w:szCs w:val="20"/>
              </w:rPr>
              <w:t xml:space="preserve">Dim Calender</w:t>
            </w:r>
          </w:p>
        </w:tc>
        <w:tc>
          <w:tcPr>
            <w:tcW w:type="dxa" w:w="2200"/>
            <w:shd w:fill="F2F2F2" w:color="auto" w:val="clear"/>
            <w:tcMar>
              <w:top w:type="dxa" w:w="70"/>
              <w:left w:type="dxa" w:w="100"/>
              <w:bottom w:type="dxa" w:w="70"/>
              <w:right w:type="dxa" w:w="100"/>
            </w:tcMar>
          </w:tcPr>
          <w:p>
            <w:r>
              <w:rPr>
                <w:sz w:val="20"/>
                <w:szCs w:val="20"/>
              </w:rPr>
              <w:t xml:space="preserve">Dimension (Date table)</w:t>
            </w:r>
          </w:p>
        </w:tc>
        <w:tc>
          <w:tcPr>
            <w:tcW w:type="dxa" w:w="4550"/>
            <w:shd w:fill="F2F2F2" w:color="auto" w:val="clear"/>
            <w:tcMar>
              <w:top w:type="dxa" w:w="70"/>
              <w:left w:type="dxa" w:w="100"/>
              <w:bottom w:type="dxa" w:w="70"/>
              <w:right w:type="dxa" w:w="100"/>
            </w:tcMar>
          </w:tcPr>
          <w:p>
            <w:r>
              <w:rPr>
                <w:sz w:val="20"/>
                <w:szCs w:val="20"/>
              </w:rPr>
              <w:t xml:space="preserve">Date, Year, Quarter, Month, Day — used for the date hierarchy across all pages</w:t>
            </w:r>
          </w:p>
        </w:tc>
      </w:tr>
    </w:tbl>
    <w:p>
      <w:pPr>
        <w:spacing w:after="100" w:before="200"/>
      </w:pPr>
      <w:r>
        <w:rPr>
          <w:b/>
          <w:bCs/>
          <w:color w:val="2E74B5"/>
          <w:sz w:val="23"/>
          <w:szCs w:val="23"/>
        </w:rPr>
        <w:t xml:space="preserve">Coverage</w:t>
      </w:r>
    </w:p>
    <w:p>
      <w:pPr>
        <w:pStyle w:val="ListParagraph"/>
        <w:numPr>
          <w:ilvl w:val="0"/>
          <w:numId w:val="1"/>
        </w:numPr>
        <w:spacing w:after="80" w:line="280"/>
      </w:pPr>
      <w:r>
        <w:rPr>
          <w:sz w:val="22"/>
          <w:szCs w:val="22"/>
        </w:rPr>
        <w:t xml:space="preserve">Employee attributes: name, gender, designation, and department/location assignment.</w:t>
      </w:r>
    </w:p>
    <w:p>
      <w:pPr>
        <w:pStyle w:val="ListParagraph"/>
        <w:numPr>
          <w:ilvl w:val="0"/>
          <w:numId w:val="1"/>
        </w:numPr>
        <w:spacing w:after="80" w:line="280"/>
      </w:pPr>
      <w:r>
        <w:rPr>
          <w:sz w:val="22"/>
          <w:szCs w:val="22"/>
        </w:rPr>
        <w:t xml:space="preserve">Payroll components: basic salary, HRA, allowances, bonus, commission, and deductions, rolling up to net salary.</w:t>
      </w:r>
    </w:p>
    <w:p>
      <w:pPr>
        <w:pStyle w:val="ListParagraph"/>
        <w:numPr>
          <w:ilvl w:val="0"/>
          <w:numId w:val="1"/>
        </w:numPr>
        <w:spacing w:after="80" w:line="280"/>
      </w:pPr>
      <w:r>
        <w:rPr>
          <w:sz w:val="22"/>
          <w:szCs w:val="22"/>
        </w:rPr>
        <w:t xml:space="preserve">Departments compared by location and by headcount, payroll cost, and average pay.</w:t>
      </w:r>
    </w:p>
    <w:p>
      <w:pPr>
        <w:pStyle w:val="Heading1"/>
        <w:pBdr>
          <w:bottom w:val="single" w:color="2E74B5" w:sz="6" w:space="4"/>
        </w:pBdr>
        <w:spacing w:after="160" w:before="360"/>
      </w:pPr>
      <w:r>
        <w:rPr>
          <w:b/>
          <w:bCs/>
          <w:color w:val="1F3864"/>
          <w:sz w:val="30"/>
          <w:szCs w:val="30"/>
        </w:rPr>
        <w:t xml:space="preserve">4. Tools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color="auto" w:val="clear"/>
            <w:tcMar>
              <w:top w:type="dxa" w:w="80"/>
              <w:left w:type="dxa" w:w="100"/>
              <w:bottom w:type="dxa" w:w="80"/>
              <w:right w:type="dxa" w:w="100"/>
            </w:tcMar>
          </w:tcPr>
          <w:p>
            <w:r>
              <w:rPr>
                <w:b/>
                <w:bCs/>
                <w:color w:val="FFFFFF"/>
                <w:sz w:val="20"/>
                <w:szCs w:val="20"/>
              </w:rPr>
              <w:t xml:space="preserve">Tool</w:t>
            </w:r>
          </w:p>
        </w:tc>
        <w:tc>
          <w:tcPr>
            <w:tcW w:type="dxa" w:w="6150"/>
            <w:shd w:fill="1F3864" w:color="auto" w:val="clear"/>
            <w:tcMar>
              <w:top w:type="dxa" w:w="80"/>
              <w:left w:type="dxa" w:w="100"/>
              <w:bottom w:type="dxa" w:w="80"/>
              <w:right w:type="dxa" w:w="100"/>
            </w:tcMar>
          </w:tcPr>
          <w:p>
            <w:r>
              <w:rPr>
                <w:b/>
                <w:bCs/>
                <w:color w:val="FFFFFF"/>
                <w:sz w:val="20"/>
                <w:szCs w:val="20"/>
              </w:rPr>
              <w:t xml:space="preserve">Purpose</w:t>
            </w:r>
          </w:p>
        </w:tc>
      </w:tr>
      <w:tr>
        <w:tc>
          <w:tcPr>
            <w:tcW w:type="dxa" w:w="3200"/>
            <w:shd w:fill="FFFFFF" w:color="auto" w:val="clear"/>
            <w:tcMar>
              <w:top w:type="dxa" w:w="70"/>
              <w:left w:type="dxa" w:w="100"/>
              <w:bottom w:type="dxa" w:w="70"/>
              <w:right w:type="dxa" w:w="100"/>
            </w:tcMar>
          </w:tcPr>
          <w:p>
            <w:r>
              <w:rPr>
                <w:sz w:val="20"/>
                <w:szCs w:val="20"/>
              </w:rPr>
              <w:t xml:space="preserve">Power BI Desktop</w:t>
            </w:r>
          </w:p>
        </w:tc>
        <w:tc>
          <w:tcPr>
            <w:tcW w:type="dxa" w:w="6150"/>
            <w:shd w:fill="FFFFFF" w:color="auto" w:val="clear"/>
            <w:tcMar>
              <w:top w:type="dxa" w:w="70"/>
              <w:left w:type="dxa" w:w="100"/>
              <w:bottom w:type="dxa" w:w="70"/>
              <w:right w:type="dxa" w:w="100"/>
            </w:tcMar>
          </w:tcPr>
          <w:p>
            <w:r>
              <w:rPr>
                <w:sz w:val="20"/>
                <w:szCs w:val="20"/>
              </w:rPr>
              <w:t xml:space="preserve">End-to-end: data import, modeling, DAX measures, and report/dashboard design</w:t>
            </w:r>
          </w:p>
        </w:tc>
      </w:tr>
      <w:tr>
        <w:tc>
          <w:tcPr>
            <w:tcW w:type="dxa" w:w="3200"/>
            <w:shd w:fill="F2F2F2" w:color="auto" w:val="clear"/>
            <w:tcMar>
              <w:top w:type="dxa" w:w="70"/>
              <w:left w:type="dxa" w:w="100"/>
              <w:bottom w:type="dxa" w:w="70"/>
              <w:right w:type="dxa" w:w="100"/>
            </w:tcMar>
          </w:tcPr>
          <w:p>
            <w:r>
              <w:rPr>
                <w:sz w:val="20"/>
                <w:szCs w:val="20"/>
              </w:rPr>
              <w:t xml:space="preserve">Power Query Editor</w:t>
            </w:r>
          </w:p>
        </w:tc>
        <w:tc>
          <w:tcPr>
            <w:tcW w:type="dxa" w:w="6150"/>
            <w:shd w:fill="F2F2F2" w:color="auto" w:val="clear"/>
            <w:tcMar>
              <w:top w:type="dxa" w:w="70"/>
              <w:left w:type="dxa" w:w="100"/>
              <w:bottom w:type="dxa" w:w="70"/>
              <w:right w:type="dxa" w:w="100"/>
            </w:tcMar>
          </w:tcPr>
          <w:p>
            <w:r>
              <w:rPr>
                <w:sz w:val="20"/>
                <w:szCs w:val="20"/>
              </w:rPr>
              <w:t xml:space="preserve">Cleaning and shaping the employee, department, and salary data before loading</w:t>
            </w:r>
          </w:p>
        </w:tc>
      </w:tr>
      <w:tr>
        <w:tc>
          <w:tcPr>
            <w:tcW w:type="dxa" w:w="3200"/>
            <w:shd w:fill="FFFFFF" w:color="auto" w:val="clear"/>
            <w:tcMar>
              <w:top w:type="dxa" w:w="70"/>
              <w:left w:type="dxa" w:w="100"/>
              <w:bottom w:type="dxa" w:w="70"/>
              <w:right w:type="dxa" w:w="100"/>
            </w:tcMar>
          </w:tcPr>
          <w:p>
            <w:r>
              <w:rPr>
                <w:sz w:val="20"/>
                <w:szCs w:val="20"/>
              </w:rPr>
              <w:t xml:space="preserve">Data Model / Relationships View</w:t>
            </w:r>
          </w:p>
        </w:tc>
        <w:tc>
          <w:tcPr>
            <w:tcW w:type="dxa" w:w="6150"/>
            <w:shd w:fill="FFFFFF" w:color="auto" w:val="clear"/>
            <w:tcMar>
              <w:top w:type="dxa" w:w="70"/>
              <w:left w:type="dxa" w:w="100"/>
              <w:bottom w:type="dxa" w:w="70"/>
              <w:right w:type="dxa" w:w="100"/>
            </w:tcMar>
          </w:tcPr>
          <w:p>
            <w:r>
              <w:rPr>
                <w:sz w:val="20"/>
                <w:szCs w:val="20"/>
              </w:rPr>
              <w:t xml:space="preserve">Linking fact_salary_dataset to employee_dataset, dept_dataset, and Dim Calender</w:t>
            </w:r>
          </w:p>
        </w:tc>
      </w:tr>
      <w:tr>
        <w:tc>
          <w:tcPr>
            <w:tcW w:type="dxa" w:w="3200"/>
            <w:shd w:fill="F2F2F2" w:color="auto" w:val="clear"/>
            <w:tcMar>
              <w:top w:type="dxa" w:w="70"/>
              <w:left w:type="dxa" w:w="100"/>
              <w:bottom w:type="dxa" w:w="70"/>
              <w:right w:type="dxa" w:w="100"/>
            </w:tcMar>
          </w:tcPr>
          <w:p>
            <w:r>
              <w:rPr>
                <w:sz w:val="20"/>
                <w:szCs w:val="20"/>
              </w:rPr>
              <w:t xml:space="preserve">DAX (Data Analysis Expressions)</w:t>
            </w:r>
          </w:p>
        </w:tc>
        <w:tc>
          <w:tcPr>
            <w:tcW w:type="dxa" w:w="6150"/>
            <w:shd w:fill="F2F2F2" w:color="auto" w:val="clear"/>
            <w:tcMar>
              <w:top w:type="dxa" w:w="70"/>
              <w:left w:type="dxa" w:w="100"/>
              <w:bottom w:type="dxa" w:w="70"/>
              <w:right w:type="dxa" w:w="100"/>
            </w:tcMar>
          </w:tcPr>
          <w:p>
            <w:r>
              <w:rPr>
                <w:sz w:val="20"/>
                <w:szCs w:val="20"/>
              </w:rPr>
              <w:t xml:space="preserve">Writing measures for payroll totals/averages, headcount splits, and highest/lowest-paying department</w:t>
            </w:r>
          </w:p>
        </w:tc>
      </w:tr>
    </w:tbl>
    <w:p>
      <w:pPr>
        <w:pStyle w:val="Heading1"/>
        <w:pBdr>
          <w:bottom w:val="single" w:color="2E74B5" w:sz="6" w:space="4"/>
        </w:pBdr>
        <w:spacing w:after="160" w:before="360"/>
      </w:pPr>
      <w:r>
        <w:rPr>
          <w:b/>
          <w:bCs/>
          <w:color w:val="1F3864"/>
          <w:sz w:val="30"/>
          <w:szCs w:val="30"/>
        </w:rPr>
        <w:t xml:space="preserve">5. Data Cleaning</w:t>
      </w:r>
    </w:p>
    <w:p>
      <w:pPr>
        <w:spacing w:after="160" w:line="300"/>
      </w:pPr>
      <w:r>
        <w:rPr>
          <w:sz w:val="22"/>
          <w:szCs w:val="22"/>
        </w:rPr>
        <w:t xml:space="preserve">Cleaning and shaping were carried out in the Power Query Editor before loading the data into the model:</w:t>
      </w:r>
    </w:p>
    <w:p>
      <w:pPr>
        <w:pStyle w:val="ListParagraph"/>
        <w:numPr>
          <w:ilvl w:val="0"/>
          <w:numId w:val="1"/>
        </w:numPr>
        <w:spacing w:after="80" w:line="280"/>
      </w:pPr>
      <w:r>
        <w:rPr>
          <w:sz w:val="22"/>
          <w:szCs w:val="22"/>
        </w:rPr>
        <w:t xml:space="preserve">Standardized employee, department, and salary data into three separate tables (employee, department, salary transactions) rather than one flat export, to avoid repeated attribute data and support proper relationships.</w:t>
      </w:r>
    </w:p>
    <w:p>
      <w:pPr>
        <w:pStyle w:val="ListParagraph"/>
        <w:numPr>
          <w:ilvl w:val="0"/>
          <w:numId w:val="1"/>
        </w:numPr>
        <w:spacing w:after="80" w:line="280"/>
      </w:pPr>
      <w:r>
        <w:rPr>
          <w:sz w:val="22"/>
          <w:szCs w:val="22"/>
        </w:rPr>
        <w:t xml:space="preserve">Set correct data types for all fields — text for names/designations, numeric for salary components, and date for SalaryDate — so DAX aggregations and the date hierarchy work correctly.</w:t>
      </w:r>
    </w:p>
    <w:p>
      <w:pPr>
        <w:pStyle w:val="ListParagraph"/>
        <w:numPr>
          <w:ilvl w:val="0"/>
          <w:numId w:val="1"/>
        </w:numPr>
        <w:spacing w:after="80" w:line="280"/>
      </w:pPr>
      <w:r>
        <w:rPr>
          <w:sz w:val="22"/>
          <w:szCs w:val="22"/>
        </w:rPr>
        <w:t xml:space="preserve">Verified Gender and DeptName/Location values for consistent spelling and casing before use in slicers and visuals.</w:t>
      </w:r>
    </w:p>
    <w:p>
      <w:pPr>
        <w:pStyle w:val="ListParagraph"/>
        <w:numPr>
          <w:ilvl w:val="0"/>
          <w:numId w:val="1"/>
        </w:numPr>
        <w:spacing w:after="80" w:line="280"/>
      </w:pPr>
      <w:r>
        <w:rPr>
          <w:sz w:val="22"/>
          <w:szCs w:val="22"/>
        </w:rPr>
        <w:t xml:space="preserve">Checked salary component fields (BasicSalary, Bonus, Commission, Deductions, NetSalary) for valid, non-negative values.</w:t>
      </w:r>
    </w:p>
    <w:p>
      <w:pPr>
        <w:pStyle w:val="ListParagraph"/>
        <w:numPr>
          <w:ilvl w:val="0"/>
          <w:numId w:val="1"/>
        </w:numPr>
        <w:spacing w:after="80" w:line="280"/>
      </w:pPr>
      <w:r>
        <w:rPr>
          <w:sz w:val="22"/>
          <w:szCs w:val="22"/>
        </w:rPr>
        <w:t xml:space="preserve">Built a dedicated Dim Calender date table and connected it to the salary fact table, enabling the Year/Quarter/Month/Day drill hierarchy used as a slicer on every page.</w:t>
      </w:r>
    </w:p>
    <w:p>
      <w:pPr>
        <w:pStyle w:val="ListParagraph"/>
        <w:numPr>
          <w:ilvl w:val="0"/>
          <w:numId w:val="1"/>
        </w:numPr>
        <w:spacing w:after="80" w:line="280"/>
      </w:pPr>
      <w:r>
        <w:rPr>
          <w:sz w:val="22"/>
          <w:szCs w:val="22"/>
        </w:rPr>
        <w:t xml:space="preserve">Created relationships between fact_salary_dataset and each dimension table (employee, department, calendar), validated in the Relationships view for correct cardinality.</w:t>
      </w:r>
    </w:p>
    <w:p>
      <w:pPr>
        <w:pStyle w:val="Heading1"/>
        <w:pBdr>
          <w:bottom w:val="single" w:color="2E74B5" w:sz="6" w:space="4"/>
        </w:pBdr>
        <w:spacing w:after="160" w:before="360"/>
      </w:pPr>
      <w:r>
        <w:rPr>
          <w:b/>
          <w:bCs/>
          <w:color w:val="1F3864"/>
          <w:sz w:val="30"/>
          <w:szCs w:val="30"/>
        </w:rPr>
        <w:t xml:space="preserve">6. Dashboard Features</w:t>
      </w:r>
    </w:p>
    <w:p>
      <w:pPr>
        <w:spacing w:after="160" w:line="300"/>
      </w:pPr>
      <w:r>
        <w:rPr>
          <w:sz w:val="22"/>
          <w:szCs w:val="22"/>
        </w:rPr>
        <w:t xml:space="preserve">The report is organized into five pages, all sharing a consistent header, gender/location/department slicers, and a date hierarchy slicer:</w:t>
      </w:r>
    </w:p>
    <w:p>
      <w:pPr>
        <w:spacing w:after="100" w:before="200"/>
      </w:pPr>
      <w:r>
        <w:rPr>
          <w:b/>
          <w:bCs/>
          <w:color w:val="2E74B5"/>
          <w:sz w:val="23"/>
          <w:szCs w:val="23"/>
        </w:rPr>
        <w:t xml:space="preserve">Executive Dashboard</w:t>
      </w:r>
    </w:p>
    <w:p>
      <w:pPr>
        <w:pStyle w:val="ListParagraph"/>
        <w:numPr>
          <w:ilvl w:val="0"/>
          <w:numId w:val="1"/>
        </w:numPr>
        <w:spacing w:after="80" w:line="280"/>
      </w:pPr>
      <w:r>
        <w:rPr>
          <w:sz w:val="22"/>
          <w:szCs w:val="22"/>
        </w:rPr>
        <w:t xml:space="preserve">KPI cards: Total Net Salary, Average Net Salary, Total Basic Salary, Total Deductions, Total Bonus, Employee Count.</w:t>
      </w:r>
    </w:p>
    <w:p>
      <w:pPr>
        <w:pStyle w:val="ListParagraph"/>
        <w:numPr>
          <w:ilvl w:val="0"/>
          <w:numId w:val="1"/>
        </w:numPr>
        <w:spacing w:after="80" w:line="280"/>
      </w:pPr>
      <w:r>
        <w:rPr>
          <w:sz w:val="22"/>
          <w:szCs w:val="22"/>
        </w:rPr>
        <w:t xml:space="preserve">Net salary trend over time (line chart), Net Salary by Department (column chart), Gender split (donut chart), and headcount by Department (bar chart).</w:t>
      </w:r>
    </w:p>
    <w:p>
      <w:pPr>
        <w:spacing w:after="100" w:before="200"/>
      </w:pPr>
      <w:r>
        <w:rPr>
          <w:b/>
          <w:bCs/>
          <w:color w:val="2E74B5"/>
          <w:sz w:val="23"/>
          <w:szCs w:val="23"/>
        </w:rPr>
        <w:t xml:space="preserve">Employee Analysis</w:t>
      </w:r>
    </w:p>
    <w:p>
      <w:pPr>
        <w:pStyle w:val="ListParagraph"/>
        <w:numPr>
          <w:ilvl w:val="0"/>
          <w:numId w:val="1"/>
        </w:numPr>
        <w:spacing w:after="80" w:line="280"/>
      </w:pPr>
      <w:r>
        <w:rPr>
          <w:sz w:val="22"/>
          <w:szCs w:val="22"/>
        </w:rPr>
        <w:t xml:space="preserve">KPI cards for employee count and male/female headcount.</w:t>
      </w:r>
    </w:p>
    <w:p>
      <w:pPr>
        <w:pStyle w:val="ListParagraph"/>
        <w:numPr>
          <w:ilvl w:val="0"/>
          <w:numId w:val="1"/>
        </w:numPr>
        <w:spacing w:after="80" w:line="280"/>
      </w:pPr>
      <w:r>
        <w:rPr>
          <w:sz w:val="22"/>
          <w:szCs w:val="22"/>
        </w:rPr>
        <w:t xml:space="preserve">Headcount by Designation, Gender split (pie chart), headcount by Year, and a detail table listing employees with gender, designation, bonus, commission, and net salary.</w:t>
      </w:r>
    </w:p>
    <w:p>
      <w:pPr>
        <w:spacing w:after="100" w:before="200"/>
      </w:pPr>
      <w:r>
        <w:rPr>
          <w:b/>
          <w:bCs/>
          <w:color w:val="2E74B5"/>
          <w:sz w:val="23"/>
          <w:szCs w:val="23"/>
        </w:rPr>
        <w:t xml:space="preserve">Payroll Analysis</w:t>
      </w:r>
    </w:p>
    <w:p>
      <w:pPr>
        <w:pStyle w:val="ListParagraph"/>
        <w:numPr>
          <w:ilvl w:val="0"/>
          <w:numId w:val="1"/>
        </w:numPr>
        <w:spacing w:after="80" w:line="280"/>
      </w:pPr>
      <w:r>
        <w:rPr>
          <w:sz w:val="22"/>
          <w:szCs w:val="22"/>
        </w:rPr>
        <w:t xml:space="preserve">KPI cards for total basic salary, HRA, allowances, bonus, commission, and deductions.</w:t>
      </w:r>
    </w:p>
    <w:p>
      <w:pPr>
        <w:pStyle w:val="ListParagraph"/>
        <w:numPr>
          <w:ilvl w:val="0"/>
          <w:numId w:val="1"/>
        </w:numPr>
        <w:spacing w:after="80" w:line="280"/>
      </w:pPr>
      <w:r>
        <w:rPr>
          <w:sz w:val="22"/>
          <w:szCs w:val="22"/>
        </w:rPr>
        <w:t xml:space="preserve">Monthly basic salary/bonus/commission breakdown (column chart), total payroll trend by month (line chart), and payroll/bonus by department (bar charts).</w:t>
      </w:r>
    </w:p>
    <w:p>
      <w:pPr>
        <w:spacing w:after="100" w:before="200"/>
      </w:pPr>
      <w:r>
        <w:rPr>
          <w:b/>
          <w:bCs/>
          <w:color w:val="2E74B5"/>
          <w:sz w:val="23"/>
          <w:szCs w:val="23"/>
        </w:rPr>
        <w:t xml:space="preserve">Department Analysis</w:t>
      </w:r>
    </w:p>
    <w:p>
      <w:pPr>
        <w:pStyle w:val="ListParagraph"/>
        <w:numPr>
          <w:ilvl w:val="0"/>
          <w:numId w:val="1"/>
        </w:numPr>
        <w:spacing w:after="80" w:line="280"/>
      </w:pPr>
      <w:r>
        <w:rPr>
          <w:sz w:val="22"/>
          <w:szCs w:val="22"/>
        </w:rPr>
        <w:t xml:space="preserve">KPI cards highlighting the highest- and lowest-paying departments, plus employee count.</w:t>
      </w:r>
    </w:p>
    <w:p>
      <w:pPr>
        <w:pStyle w:val="ListParagraph"/>
        <w:numPr>
          <w:ilvl w:val="0"/>
          <w:numId w:val="1"/>
        </w:numPr>
        <w:spacing w:after="80" w:line="280"/>
      </w:pPr>
      <w:r>
        <w:rPr>
          <w:sz w:val="22"/>
          <w:szCs w:val="22"/>
        </w:rPr>
        <w:t xml:space="preserve">Average net salary, headcount, total payroll, bonus, and deductions — each broken down by department and location.</w:t>
      </w:r>
    </w:p>
    <w:p>
      <w:pPr>
        <w:spacing w:after="100" w:before="200"/>
      </w:pPr>
      <w:r>
        <w:rPr>
          <w:b/>
          <w:bCs/>
          <w:color w:val="2E74B5"/>
          <w:sz w:val="23"/>
          <w:szCs w:val="23"/>
        </w:rPr>
        <w:t xml:space="preserve">Employee Drill-through</w:t>
      </w:r>
    </w:p>
    <w:p>
      <w:pPr>
        <w:pStyle w:val="ListParagraph"/>
        <w:numPr>
          <w:ilvl w:val="0"/>
          <w:numId w:val="1"/>
        </w:numPr>
        <w:spacing w:after="80" w:line="280"/>
      </w:pPr>
      <w:r>
        <w:rPr>
          <w:sz w:val="22"/>
          <w:szCs w:val="22"/>
        </w:rPr>
        <w:t xml:space="preserve">KPI cards for net salary, bonus, commission, and deductions.</w:t>
      </w:r>
    </w:p>
    <w:p>
      <w:pPr>
        <w:pStyle w:val="ListParagraph"/>
        <w:numPr>
          <w:ilvl w:val="0"/>
          <w:numId w:val="1"/>
        </w:numPr>
        <w:spacing w:after="80" w:line="280"/>
      </w:pPr>
      <w:r>
        <w:rPr>
          <w:sz w:val="22"/>
          <w:szCs w:val="22"/>
        </w:rPr>
        <w:t xml:space="preserve">Trend lines for net salary, bonus, and commission over time, plus a detailed employee-level salary table (by employee, department, and salary date) for drilling into individual records.</w:t>
      </w:r>
    </w:p>
    <w:p>
      <w:pPr>
        <w:pStyle w:val="Heading1"/>
        <w:pBdr>
          <w:bottom w:val="single" w:color="2E74B5" w:sz="6" w:space="4"/>
        </w:pBdr>
        <w:spacing w:after="160" w:before="360"/>
      </w:pPr>
      <w:r>
        <w:rPr>
          <w:b/>
          <w:bCs/>
          <w:color w:val="1F3864"/>
          <w:sz w:val="30"/>
          <w:szCs w:val="30"/>
        </w:rPr>
        <w:t xml:space="preserve">7. Key DAX Measures</w:t>
      </w:r>
    </w:p>
    <w:p>
      <w:pPr>
        <w:spacing w:after="160" w:line="300"/>
      </w:pPr>
      <w:r>
        <w:rPr>
          <w:sz w:val="22"/>
          <w:szCs w:val="22"/>
        </w:rPr>
        <w:t xml:space="preserve">The model includes custom DAX measures beyond simple sums, including: Total/Average Net Salary, Total Basic Salary, Total HRA, Total Allowances, Total Bonus, Total Commission, Total Deductions, Total Payroll, Male/Female employee counts, and Highest/Lowest Paying Department — giving the report a reusable measure library shared across all five pages.</w:t>
      </w:r>
    </w:p>
    <w:p>
      <w:pPr>
        <w:pStyle w:val="Heading1"/>
        <w:pBdr>
          <w:bottom w:val="single" w:color="2E74B5" w:sz="6" w:space="4"/>
        </w:pBdr>
        <w:spacing w:after="160" w:before="360"/>
      </w:pPr>
      <w:r>
        <w:rPr>
          <w:b/>
          <w:bCs/>
          <w:color w:val="1F3864"/>
          <w:sz w:val="30"/>
          <w:szCs w:val="30"/>
        </w:rPr>
        <w:t xml:space="preserve">8. Key Message</w:t>
      </w:r>
    </w:p>
    <w:p>
      <w:pPr>
        <w:spacing w:after="160" w:line="300"/>
      </w:pPr>
      <w:r>
        <w:rPr>
          <w:sz w:val="22"/>
          <w:szCs w:val="22"/>
        </w:rPr>
        <w:t xml:space="preserve">Modeling employee, department, and payroll data as a connected Power BI report — rather than separate spreadsheets — gives HR a single place to monitor headcount, gender balance, and payroll cost by department, location, and time period, while still being able to drill through to an individual employee's full salary history when a question comes up.</w:t>
      </w:r>
    </w:p>
    <w:p>
      <w:pPr>
        <w:pStyle w:val="Heading1"/>
        <w:pBdr>
          <w:bottom w:val="single" w:color="2E74B5" w:sz="6" w:space="4"/>
        </w:pBdr>
        <w:spacing w:after="160" w:before="360"/>
      </w:pPr>
      <w:r>
        <w:rPr>
          <w:b/>
          <w:bCs/>
          <w:color w:val="1F3864"/>
          <w:sz w:val="30"/>
          <w:szCs w:val="30"/>
        </w:rPr>
        <w:t xml:space="preserve">9. Conclusion</w:t>
      </w:r>
    </w:p>
    <w:p>
      <w:pPr>
        <w:spacing w:after="160" w:line="300"/>
      </w:pPr>
      <w:r>
        <w:rPr>
          <w:sz w:val="22"/>
          <w:szCs w:val="22"/>
        </w:rPr>
        <w:t xml:space="preserve">This dashboard turns raw employee and payroll records into a structured, interactive tool covering workforce composition, payroll cost breakdown, and department-level comparisons, with a dedicated drill-through page for individual employee detail — giving HR stakeholders a reusable foundation for ongoing workforce and payroll monitoring.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2026-08-19T16:08:03.826Z</dcterms:created>
  <dcterms:modified xsi:type="dcterms:W3CDTF">2026-08-19T16:08:03.840Z</dcterms:modified>
</cp:coreProperties>
</file>

<file path=docProps/custom.xml><?xml version="1.0" encoding="utf-8"?>
<Properties xmlns="http://schemas.openxmlformats.org/officeDocument/2006/custom-properties" xmlns:vt="http://schemas.openxmlformats.org/officeDocument/2006/docPropsVTypes"/>
</file>