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i/>
          <w:iCs/>
          <w:color w:val="808080"/>
          <w:sz w:val="22"/>
          <w:szCs w:val="22"/>
        </w:rPr>
        <w:t xml:space="preserve">Data Analytics Project Documentation</w:t>
      </w:r>
    </w:p>
    <w:p>
      <w:pPr>
        <w:spacing w:after="60"/>
      </w:pPr>
      <w:r>
        <w:rPr>
          <w:b/>
          <w:bCs/>
          <w:color w:val="1F3864"/>
          <w:sz w:val="40"/>
          <w:szCs w:val="40"/>
        </w:rPr>
        <w:t xml:space="preserve">Zepto Sales &amp; Profitability Analysis Dashboard</w:t>
      </w:r>
    </w:p>
    <w:p>
      <w:pPr>
        <w:pBdr>
          <w:bottom w:val="single" w:color="2E74B5" w:sz="12" w:space="6"/>
        </w:pBdr>
        <w:spacing w:after="300"/>
      </w:pPr>
      <w:r>
        <w:rPr>
          <w:color w:val="595959"/>
          <w:sz w:val="22"/>
          <w:szCs w:val="22"/>
        </w:rPr>
        <w:t xml:space="preserve">Quick-Commerce Order &amp; Delivery Data | Jan – Mar 2025</w:t>
      </w:r>
    </w:p>
    <w:p>
      <w:pPr>
        <w:pStyle w:val="Heading1"/>
        <w:pBdr>
          <w:bottom w:val="single" w:color="2E74B5" w:sz="6" w:space="4"/>
        </w:pBdr>
        <w:spacing w:after="160" w:before="360"/>
      </w:pPr>
      <w:r>
        <w:rPr>
          <w:b/>
          <w:bCs/>
          <w:color w:val="1F3864"/>
          <w:sz w:val="30"/>
          <w:szCs w:val="30"/>
        </w:rPr>
        <w:t xml:space="preserve">1. Project Overview</w:t>
      </w:r>
    </w:p>
    <w:p>
      <w:pPr>
        <w:spacing w:after="160" w:line="300"/>
      </w:pPr>
      <w:r>
        <w:rPr>
          <w:sz w:val="22"/>
          <w:szCs w:val="22"/>
        </w:rPr>
        <w:t xml:space="preserve">This project analyzes order-level sales data from Zepto, a quick-commerce grocery delivery platform, covering approximately 1,500 orders placed between January and March 2025 across three cities. The raw transactional dataset captures order details, customer information, product categories, pricing, discounts, fees, and profitability for each order.</w:t>
      </w:r>
    </w:p>
    <w:p>
      <w:pPr>
        <w:spacing w:after="160" w:line="300"/>
      </w:pPr>
      <w:r>
        <w:rPr>
          <w:sz w:val="22"/>
          <w:szCs w:val="22"/>
        </w:rPr>
        <w:t xml:space="preserve">The goal is to clean and structure the raw data, then build an interactive dashboard that surfaces sales performance, profitability, and customer/delivery patterns for business decision-making.</w:t>
      </w:r>
    </w:p>
    <w:p>
      <w:pPr>
        <w:pStyle w:val="Heading1"/>
        <w:pBdr>
          <w:bottom w:val="single" w:color="2E74B5" w:sz="6" w:space="4"/>
        </w:pBdr>
        <w:spacing w:after="160" w:before="360"/>
      </w:pPr>
      <w:r>
        <w:rPr>
          <w:b/>
          <w:bCs/>
          <w:color w:val="1F3864"/>
          <w:sz w:val="30"/>
          <w:szCs w:val="30"/>
        </w:rPr>
        <w:t xml:space="preserve">2. Objective</w:t>
      </w:r>
    </w:p>
    <w:p>
      <w:pPr>
        <w:pStyle w:val="ListParagraph"/>
        <w:numPr>
          <w:ilvl w:val="0"/>
          <w:numId w:val="1"/>
        </w:numPr>
        <w:spacing w:after="80" w:line="280"/>
      </w:pPr>
      <w:r>
        <w:rPr>
          <w:sz w:val="22"/>
          <w:szCs w:val="22"/>
        </w:rPr>
        <w:t xml:space="preserve">Clean and prepare the raw Zepto order dataset for analysis (handle missing values, verify formats, and check for duplicates).</w:t>
      </w:r>
    </w:p>
    <w:p>
      <w:pPr>
        <w:pStyle w:val="ListParagraph"/>
        <w:numPr>
          <w:ilvl w:val="0"/>
          <w:numId w:val="1"/>
        </w:numPr>
        <w:spacing w:after="80" w:line="280"/>
      </w:pPr>
      <w:r>
        <w:rPr>
          <w:sz w:val="22"/>
          <w:szCs w:val="22"/>
        </w:rPr>
        <w:t xml:space="preserve">Analyze sales, revenue, and profit trends across time, city, product category, and customer segment.</w:t>
      </w:r>
    </w:p>
    <w:p>
      <w:pPr>
        <w:pStyle w:val="ListParagraph"/>
        <w:numPr>
          <w:ilvl w:val="0"/>
          <w:numId w:val="1"/>
        </w:numPr>
        <w:spacing w:after="80" w:line="280"/>
      </w:pPr>
      <w:r>
        <w:rPr>
          <w:sz w:val="22"/>
          <w:szCs w:val="22"/>
        </w:rPr>
        <w:t xml:space="preserve">Identify the most and least profitable categories, cities, and payment methods.</w:t>
      </w:r>
    </w:p>
    <w:p>
      <w:pPr>
        <w:pStyle w:val="ListParagraph"/>
        <w:numPr>
          <w:ilvl w:val="0"/>
          <w:numId w:val="1"/>
        </w:numPr>
        <w:spacing w:after="80" w:line="280"/>
      </w:pPr>
      <w:r>
        <w:rPr>
          <w:sz w:val="22"/>
          <w:szCs w:val="22"/>
        </w:rPr>
        <w:t xml:space="preserve">Study the relationship between discounting, delivery time, and profit margins.</w:t>
      </w:r>
    </w:p>
    <w:p>
      <w:pPr>
        <w:pStyle w:val="ListParagraph"/>
        <w:numPr>
          <w:ilvl w:val="0"/>
          <w:numId w:val="1"/>
        </w:numPr>
        <w:spacing w:after="80" w:line="280"/>
      </w:pPr>
      <w:r>
        <w:rPr>
          <w:sz w:val="22"/>
          <w:szCs w:val="22"/>
        </w:rPr>
        <w:t xml:space="preserve">Build a dashboard that presents these insights clearly for quick, data-driven decisions.</w:t>
      </w:r>
    </w:p>
    <w:p>
      <w:pPr>
        <w:pStyle w:val="Heading1"/>
        <w:pBdr>
          <w:bottom w:val="single" w:color="2E74B5" w:sz="6" w:space="4"/>
        </w:pBdr>
        <w:spacing w:after="160" w:before="360"/>
      </w:pPr>
      <w:r>
        <w:rPr>
          <w:b/>
          <w:bCs/>
          <w:color w:val="1F3864"/>
          <w:sz w:val="30"/>
          <w:szCs w:val="30"/>
        </w:rPr>
        <w:t xml:space="preserve">3. Dataset Information</w:t>
      </w:r>
    </w:p>
    <w:p>
      <w:pPr>
        <w:spacing w:after="100" w:before="200"/>
      </w:pPr>
      <w:r>
        <w:rPr>
          <w:b/>
          <w:bCs/>
          <w:color w:val="2E74B5"/>
          <w:sz w:val="23"/>
          <w:szCs w:val="23"/>
        </w:rPr>
        <w:t xml:space="preserve">Source &amp; Scope</w:t>
      </w:r>
    </w:p>
    <w:p>
      <w:pPr>
        <w:spacing w:after="160" w:line="300"/>
      </w:pPr>
      <w:r>
        <w:rPr>
          <w:sz w:val="22"/>
          <w:szCs w:val="22"/>
        </w:rPr>
        <w:t xml:space="preserve">Raw order-level export from Zepto's sales system, provided as an Excel (.xlsx) file: 1,500 rows × 22 columns, spanning January–March 2025.</w:t>
      </w:r>
    </w:p>
    <w:p>
      <w:pPr>
        <w:spacing w:after="100" w:before="200"/>
      </w:pPr>
      <w:r>
        <w:rPr>
          <w:b/>
          <w:bCs/>
          <w:color w:val="2E74B5"/>
          <w:sz w:val="23"/>
          <w:szCs w:val="23"/>
        </w:rPr>
        <w:t xml:space="preserve">Key Fields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tblHeader/>
        </w:trPr>
        <w:tc>
          <w:tcPr>
            <w:tcW w:type="dxa" w:w="3200"/>
            <w:shd w:fill="1F3864" w:color="auto" w:val="clear"/>
            <w:tcMar>
              <w:top w:type="dxa" w:w="80"/>
              <w:left w:type="dxa" w:w="100"/>
              <w:bottom w:type="dxa" w:w="80"/>
              <w:right w:type="dxa" w:w="100"/>
            </w:tcMar>
          </w:tcPr>
          <w:p>
            <w:r>
              <w:rPr>
                <w:b/>
                <w:bCs/>
                <w:color w:val="FFFFFF"/>
                <w:sz w:val="20"/>
                <w:szCs w:val="20"/>
              </w:rPr>
              <w:t xml:space="preserve">Field</w:t>
            </w:r>
          </w:p>
        </w:tc>
        <w:tc>
          <w:tcPr>
            <w:tcW w:type="dxa" w:w="6150"/>
            <w:shd w:fill="1F3864" w:color="auto" w:val="clear"/>
            <w:tcMar>
              <w:top w:type="dxa" w:w="80"/>
              <w:left w:type="dxa" w:w="100"/>
              <w:bottom w:type="dxa" w:w="80"/>
              <w:right w:type="dxa" w:w="100"/>
            </w:tcMar>
          </w:tcPr>
          <w:p>
            <w:r>
              <w:rPr>
                <w:b/>
                <w:bCs/>
                <w:color w:val="FFFFFF"/>
                <w:sz w:val="20"/>
                <w:szCs w:val="20"/>
              </w:rPr>
              <w:t xml:space="preserve">Description</w:t>
            </w:r>
          </w:p>
        </w:tc>
      </w:tr>
      <w:tr>
        <w:tc>
          <w:tcPr>
            <w:tcW w:type="dxa" w:w="3200"/>
            <w:shd w:fill="FFFFFF" w:color="auto" w:val="clear"/>
            <w:tcMar>
              <w:top w:type="dxa" w:w="70"/>
              <w:left w:type="dxa" w:w="100"/>
              <w:bottom w:type="dxa" w:w="70"/>
              <w:right w:type="dxa" w:w="100"/>
            </w:tcMar>
          </w:tcPr>
          <w:p>
            <w:r>
              <w:rPr>
                <w:sz w:val="20"/>
                <w:szCs w:val="20"/>
              </w:rPr>
              <w:t xml:space="preserve">Order_ID, Order_Date, Month, Year</w:t>
            </w:r>
          </w:p>
        </w:tc>
        <w:tc>
          <w:tcPr>
            <w:tcW w:type="dxa" w:w="6150"/>
            <w:shd w:fill="FFFFFF" w:color="auto" w:val="clear"/>
            <w:tcMar>
              <w:top w:type="dxa" w:w="70"/>
              <w:left w:type="dxa" w:w="100"/>
              <w:bottom w:type="dxa" w:w="70"/>
              <w:right w:type="dxa" w:w="100"/>
            </w:tcMar>
          </w:tcPr>
          <w:p>
            <w:r>
              <w:rPr>
                <w:sz w:val="20"/>
                <w:szCs w:val="20"/>
              </w:rPr>
              <w:t xml:space="preserve">Order identifier and timing</w:t>
            </w:r>
          </w:p>
        </w:tc>
      </w:tr>
      <w:tr>
        <w:tc>
          <w:tcPr>
            <w:tcW w:type="dxa" w:w="3200"/>
            <w:shd w:fill="F2F2F2" w:color="auto" w:val="clear"/>
            <w:tcMar>
              <w:top w:type="dxa" w:w="70"/>
              <w:left w:type="dxa" w:w="100"/>
              <w:bottom w:type="dxa" w:w="70"/>
              <w:right w:type="dxa" w:w="100"/>
            </w:tcMar>
          </w:tcPr>
          <w:p>
            <w:r>
              <w:rPr>
                <w:sz w:val="20"/>
                <w:szCs w:val="20"/>
              </w:rPr>
              <w:t xml:space="preserve">Customer_Name, Customer_Type, Customer_Segment</w:t>
            </w:r>
          </w:p>
        </w:tc>
        <w:tc>
          <w:tcPr>
            <w:tcW w:type="dxa" w:w="6150"/>
            <w:shd w:fill="F2F2F2" w:color="auto" w:val="clear"/>
            <w:tcMar>
              <w:top w:type="dxa" w:w="70"/>
              <w:left w:type="dxa" w:w="100"/>
              <w:bottom w:type="dxa" w:w="70"/>
              <w:right w:type="dxa" w:w="100"/>
            </w:tcMar>
          </w:tcPr>
          <w:p>
            <w:r>
              <w:rPr>
                <w:sz w:val="20"/>
                <w:szCs w:val="20"/>
              </w:rPr>
              <w:t xml:space="preserve">Customer identity, type (New/Returning/Bulk), and business segment (Café, Bakery, Household, etc.)</w:t>
            </w:r>
          </w:p>
        </w:tc>
      </w:tr>
      <w:tr>
        <w:tc>
          <w:tcPr>
            <w:tcW w:type="dxa" w:w="3200"/>
            <w:shd w:fill="FFFFFF" w:color="auto" w:val="clear"/>
            <w:tcMar>
              <w:top w:type="dxa" w:w="70"/>
              <w:left w:type="dxa" w:w="100"/>
              <w:bottom w:type="dxa" w:w="70"/>
              <w:right w:type="dxa" w:w="100"/>
            </w:tcMar>
          </w:tcPr>
          <w:p>
            <w:r>
              <w:rPr>
                <w:sz w:val="20"/>
                <w:szCs w:val="20"/>
              </w:rPr>
              <w:t xml:space="preserve">City, Payment_Method</w:t>
            </w:r>
          </w:p>
        </w:tc>
        <w:tc>
          <w:tcPr>
            <w:tcW w:type="dxa" w:w="6150"/>
            <w:shd w:fill="FFFFFF" w:color="auto" w:val="clear"/>
            <w:tcMar>
              <w:top w:type="dxa" w:w="70"/>
              <w:left w:type="dxa" w:w="100"/>
              <w:bottom w:type="dxa" w:w="70"/>
              <w:right w:type="dxa" w:w="100"/>
            </w:tcMar>
          </w:tcPr>
          <w:p>
            <w:r>
              <w:rPr>
                <w:sz w:val="20"/>
                <w:szCs w:val="20"/>
              </w:rPr>
              <w:t xml:space="preserve">Delivery city and payment channel used</w:t>
            </w:r>
          </w:p>
        </w:tc>
      </w:tr>
      <w:tr>
        <w:tc>
          <w:tcPr>
            <w:tcW w:type="dxa" w:w="3200"/>
            <w:shd w:fill="F2F2F2" w:color="auto" w:val="clear"/>
            <w:tcMar>
              <w:top w:type="dxa" w:w="70"/>
              <w:left w:type="dxa" w:w="100"/>
              <w:bottom w:type="dxa" w:w="70"/>
              <w:right w:type="dxa" w:w="100"/>
            </w:tcMar>
          </w:tcPr>
          <w:p>
            <w:r>
              <w:rPr>
                <w:sz w:val="20"/>
                <w:szCs w:val="20"/>
              </w:rPr>
              <w:t xml:space="preserve">SKU, Product_Name, Category</w:t>
            </w:r>
          </w:p>
        </w:tc>
        <w:tc>
          <w:tcPr>
            <w:tcW w:type="dxa" w:w="6150"/>
            <w:shd w:fill="F2F2F2" w:color="auto" w:val="clear"/>
            <w:tcMar>
              <w:top w:type="dxa" w:w="70"/>
              <w:left w:type="dxa" w:w="100"/>
              <w:bottom w:type="dxa" w:w="70"/>
              <w:right w:type="dxa" w:w="100"/>
            </w:tcMar>
          </w:tcPr>
          <w:p>
            <w:r>
              <w:rPr>
                <w:sz w:val="20"/>
                <w:szCs w:val="20"/>
              </w:rPr>
              <w:t xml:space="preserve">Product identity and category (Veg, Dairy, Snacks, Beverages, etc.)</w:t>
            </w:r>
          </w:p>
        </w:tc>
      </w:tr>
      <w:tr>
        <w:tc>
          <w:tcPr>
            <w:tcW w:type="dxa" w:w="3200"/>
            <w:shd w:fill="FFFFFF" w:color="auto" w:val="clear"/>
            <w:tcMar>
              <w:top w:type="dxa" w:w="70"/>
              <w:left w:type="dxa" w:w="100"/>
              <w:bottom w:type="dxa" w:w="70"/>
              <w:right w:type="dxa" w:w="100"/>
            </w:tcMar>
          </w:tcPr>
          <w:p>
            <w:r>
              <w:rPr>
                <w:sz w:val="20"/>
                <w:szCs w:val="20"/>
              </w:rPr>
              <w:t xml:space="preserve">Qty, Price, Discount, Subtotal, Tax</w:t>
            </w:r>
          </w:p>
        </w:tc>
        <w:tc>
          <w:tcPr>
            <w:tcW w:type="dxa" w:w="6150"/>
            <w:shd w:fill="FFFFFF" w:color="auto" w:val="clear"/>
            <w:tcMar>
              <w:top w:type="dxa" w:w="70"/>
              <w:left w:type="dxa" w:w="100"/>
              <w:bottom w:type="dxa" w:w="70"/>
              <w:right w:type="dxa" w:w="100"/>
            </w:tcMar>
          </w:tcPr>
          <w:p>
            <w:r>
              <w:rPr>
                <w:sz w:val="20"/>
                <w:szCs w:val="20"/>
              </w:rPr>
              <w:t xml:space="preserve">Order quantity and pricing breakdown</w:t>
            </w:r>
          </w:p>
        </w:tc>
      </w:tr>
      <w:tr>
        <w:tc>
          <w:tcPr>
            <w:tcW w:type="dxa" w:w="3200"/>
            <w:shd w:fill="F2F2F2" w:color="auto" w:val="clear"/>
            <w:tcMar>
              <w:top w:type="dxa" w:w="70"/>
              <w:left w:type="dxa" w:w="100"/>
              <w:bottom w:type="dxa" w:w="70"/>
              <w:right w:type="dxa" w:w="100"/>
            </w:tcMar>
          </w:tcPr>
          <w:p>
            <w:r>
              <w:rPr>
                <w:sz w:val="20"/>
                <w:szCs w:val="20"/>
              </w:rPr>
              <w:t xml:space="preserve">Delivery_Fee, Surge_Fee, Total</w:t>
            </w:r>
          </w:p>
        </w:tc>
        <w:tc>
          <w:tcPr>
            <w:tcW w:type="dxa" w:w="6150"/>
            <w:shd w:fill="F2F2F2" w:color="auto" w:val="clear"/>
            <w:tcMar>
              <w:top w:type="dxa" w:w="70"/>
              <w:left w:type="dxa" w:w="100"/>
              <w:bottom w:type="dxa" w:w="70"/>
              <w:right w:type="dxa" w:w="100"/>
            </w:tcMar>
          </w:tcPr>
          <w:p>
            <w:r>
              <w:rPr>
                <w:sz w:val="20"/>
                <w:szCs w:val="20"/>
              </w:rPr>
              <w:t xml:space="preserve">Additional charges and final order value</w:t>
            </w:r>
          </w:p>
        </w:tc>
      </w:tr>
      <w:tr>
        <w:tc>
          <w:tcPr>
            <w:tcW w:type="dxa" w:w="3200"/>
            <w:shd w:fill="FFFFFF" w:color="auto" w:val="clear"/>
            <w:tcMar>
              <w:top w:type="dxa" w:w="70"/>
              <w:left w:type="dxa" w:w="100"/>
              <w:bottom w:type="dxa" w:w="70"/>
              <w:right w:type="dxa" w:w="100"/>
            </w:tcMar>
          </w:tcPr>
          <w:p>
            <w:r>
              <w:rPr>
                <w:sz w:val="20"/>
                <w:szCs w:val="20"/>
              </w:rPr>
              <w:t xml:space="preserve">Delivery_Time, Profit</w:t>
            </w:r>
          </w:p>
        </w:tc>
        <w:tc>
          <w:tcPr>
            <w:tcW w:type="dxa" w:w="6150"/>
            <w:shd w:fill="FFFFFF" w:color="auto" w:val="clear"/>
            <w:tcMar>
              <w:top w:type="dxa" w:w="70"/>
              <w:left w:type="dxa" w:w="100"/>
              <w:bottom w:type="dxa" w:w="70"/>
              <w:right w:type="dxa" w:w="100"/>
            </w:tcMar>
          </w:tcPr>
          <w:p>
            <w:r>
              <w:rPr>
                <w:sz w:val="20"/>
                <w:szCs w:val="20"/>
              </w:rPr>
              <w:t xml:space="preserve">Delivery duration (minutes) and profit per order</w:t>
            </w:r>
          </w:p>
        </w:tc>
      </w:tr>
    </w:tbl>
    <w:p>
      <w:pPr>
        <w:spacing w:after="100" w:before="200"/>
      </w:pPr>
      <w:r>
        <w:rPr>
          <w:b/>
          <w:bCs/>
          <w:color w:val="2E74B5"/>
          <w:sz w:val="23"/>
          <w:szCs w:val="23"/>
        </w:rPr>
        <w:t xml:space="preserve">Coverage</w:t>
      </w:r>
    </w:p>
    <w:p>
      <w:pPr>
        <w:pStyle w:val="ListParagraph"/>
        <w:numPr>
          <w:ilvl w:val="0"/>
          <w:numId w:val="1"/>
        </w:numPr>
        <w:spacing w:after="80" w:line="280"/>
      </w:pPr>
      <w:r>
        <w:rPr>
          <w:sz w:val="22"/>
          <w:szCs w:val="22"/>
        </w:rPr>
        <w:t xml:space="preserve">Cities: Mumbai, Delhi, Bangalore</w:t>
      </w:r>
    </w:p>
    <w:p>
      <w:pPr>
        <w:pStyle w:val="ListParagraph"/>
        <w:numPr>
          <w:ilvl w:val="0"/>
          <w:numId w:val="1"/>
        </w:numPr>
        <w:spacing w:after="80" w:line="280"/>
      </w:pPr>
      <w:r>
        <w:rPr>
          <w:sz w:val="22"/>
          <w:szCs w:val="22"/>
        </w:rPr>
        <w:t xml:space="preserve">Product categories: 10 (Veg, Fruits, Dairy, Bakery, Snacks, Beverages, Frozen, Baby, Essentials, Other)</w:t>
      </w:r>
    </w:p>
    <w:p>
      <w:pPr>
        <w:pStyle w:val="ListParagraph"/>
        <w:numPr>
          <w:ilvl w:val="0"/>
          <w:numId w:val="1"/>
        </w:numPr>
        <w:spacing w:after="80" w:line="280"/>
      </w:pPr>
      <w:r>
        <w:rPr>
          <w:sz w:val="22"/>
          <w:szCs w:val="22"/>
        </w:rPr>
        <w:t xml:space="preserve">Customer types: New, Returning, Bulk</w:t>
      </w:r>
    </w:p>
    <w:p>
      <w:pPr>
        <w:pStyle w:val="ListParagraph"/>
        <w:numPr>
          <w:ilvl w:val="0"/>
          <w:numId w:val="1"/>
        </w:numPr>
        <w:spacing w:after="80" w:line="280"/>
      </w:pPr>
      <w:r>
        <w:rPr>
          <w:sz w:val="22"/>
          <w:szCs w:val="22"/>
        </w:rPr>
        <w:t xml:space="preserve">Payment methods: UPI, Card, Wallet, COD, Netbanking, GPay, PhonePe</w:t>
      </w:r>
    </w:p>
    <w:p>
      <w:pPr>
        <w:pStyle w:val="Heading1"/>
        <w:pBdr>
          <w:bottom w:val="single" w:color="2E74B5" w:sz="6" w:space="4"/>
        </w:pBdr>
        <w:spacing w:after="160" w:before="360"/>
      </w:pPr>
      <w:r>
        <w:rPr>
          <w:b/>
          <w:bCs/>
          <w:color w:val="1F3864"/>
          <w:sz w:val="30"/>
          <w:szCs w:val="30"/>
        </w:rPr>
        <w:t xml:space="preserve">4. Tools Used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tblHeader/>
        </w:trPr>
        <w:tc>
          <w:tcPr>
            <w:tcW w:type="dxa" w:w="3200"/>
            <w:shd w:fill="1F3864" w:color="auto" w:val="clear"/>
            <w:tcMar>
              <w:top w:type="dxa" w:w="80"/>
              <w:left w:type="dxa" w:w="100"/>
              <w:bottom w:type="dxa" w:w="80"/>
              <w:right w:type="dxa" w:w="100"/>
            </w:tcMar>
          </w:tcPr>
          <w:p>
            <w:r>
              <w:rPr>
                <w:b/>
                <w:bCs/>
                <w:color w:val="FFFFFF"/>
                <w:sz w:val="20"/>
                <w:szCs w:val="20"/>
              </w:rPr>
              <w:t xml:space="preserve">Tool</w:t>
            </w:r>
          </w:p>
        </w:tc>
        <w:tc>
          <w:tcPr>
            <w:tcW w:type="dxa" w:w="6150"/>
            <w:shd w:fill="1F3864" w:color="auto" w:val="clear"/>
            <w:tcMar>
              <w:top w:type="dxa" w:w="80"/>
              <w:left w:type="dxa" w:w="100"/>
              <w:bottom w:type="dxa" w:w="80"/>
              <w:right w:type="dxa" w:w="100"/>
            </w:tcMar>
          </w:tcPr>
          <w:p>
            <w:r>
              <w:rPr>
                <w:b/>
                <w:bCs/>
                <w:color w:val="FFFFFF"/>
                <w:sz w:val="20"/>
                <w:szCs w:val="20"/>
              </w:rPr>
              <w:t xml:space="preserve">Purpose</w:t>
            </w:r>
          </w:p>
        </w:tc>
      </w:tr>
      <w:tr>
        <w:tc>
          <w:tcPr>
            <w:tcW w:type="dxa" w:w="3200"/>
            <w:shd w:fill="FFFFFF" w:color="auto" w:val="clear"/>
            <w:tcMar>
              <w:top w:type="dxa" w:w="70"/>
              <w:left w:type="dxa" w:w="100"/>
              <w:bottom w:type="dxa" w:w="70"/>
              <w:right w:type="dxa" w:w="100"/>
            </w:tcMar>
          </w:tcPr>
          <w:p>
            <w:r>
              <w:rPr>
                <w:sz w:val="20"/>
                <w:szCs w:val="20"/>
              </w:rPr>
              <w:t xml:space="preserve">Microsoft Excel</w:t>
            </w:r>
          </w:p>
        </w:tc>
        <w:tc>
          <w:tcPr>
            <w:tcW w:type="dxa" w:w="6150"/>
            <w:shd w:fill="FFFFFF" w:color="auto" w:val="clear"/>
            <w:tcMar>
              <w:top w:type="dxa" w:w="70"/>
              <w:left w:type="dxa" w:w="100"/>
              <w:bottom w:type="dxa" w:w="70"/>
              <w:right w:type="dxa" w:w="100"/>
            </w:tcMar>
          </w:tcPr>
          <w:p>
            <w:r>
              <w:rPr>
                <w:sz w:val="20"/>
                <w:szCs w:val="20"/>
              </w:rPr>
              <w:t xml:space="preserve">End-to-end: data cleaning, formulas, PivotTables, and dashboard building</w:t>
            </w:r>
          </w:p>
        </w:tc>
      </w:tr>
      <w:tr>
        <w:tc>
          <w:tcPr>
            <w:tcW w:type="dxa" w:w="3200"/>
            <w:shd w:fill="F2F2F2" w:color="auto" w:val="clear"/>
            <w:tcMar>
              <w:top w:type="dxa" w:w="70"/>
              <w:left w:type="dxa" w:w="100"/>
              <w:bottom w:type="dxa" w:w="70"/>
              <w:right w:type="dxa" w:w="100"/>
            </w:tcMar>
          </w:tcPr>
          <w:p>
            <w:r>
              <w:rPr>
                <w:sz w:val="20"/>
                <w:szCs w:val="20"/>
              </w:rPr>
              <w:t xml:space="preserve">Excel Formulas (COUNTBLANK, IFERROR, TRIM, etc.)</w:t>
            </w:r>
          </w:p>
        </w:tc>
        <w:tc>
          <w:tcPr>
            <w:tcW w:type="dxa" w:w="6150"/>
            <w:shd w:fill="F2F2F2" w:color="auto" w:val="clear"/>
            <w:tcMar>
              <w:top w:type="dxa" w:w="70"/>
              <w:left w:type="dxa" w:w="100"/>
              <w:bottom w:type="dxa" w:w="70"/>
              <w:right w:type="dxa" w:w="100"/>
            </w:tcMar>
          </w:tcPr>
          <w:p>
            <w:r>
              <w:rPr>
                <w:sz w:val="20"/>
                <w:szCs w:val="20"/>
              </w:rPr>
              <w:t xml:space="preserve">Identifying blanks, duplicates, and inconsistent entries during cleaning</w:t>
            </w:r>
          </w:p>
        </w:tc>
      </w:tr>
      <w:tr>
        <w:tc>
          <w:tcPr>
            <w:tcW w:type="dxa" w:w="3200"/>
            <w:shd w:fill="FFFFFF" w:color="auto" w:val="clear"/>
            <w:tcMar>
              <w:top w:type="dxa" w:w="70"/>
              <w:left w:type="dxa" w:w="100"/>
              <w:bottom w:type="dxa" w:w="70"/>
              <w:right w:type="dxa" w:w="100"/>
            </w:tcMar>
          </w:tcPr>
          <w:p>
            <w:r>
              <w:rPr>
                <w:sz w:val="20"/>
                <w:szCs w:val="20"/>
              </w:rPr>
              <w:t xml:space="preserve">PivotTables &amp; PivotCharts</w:t>
            </w:r>
          </w:p>
        </w:tc>
        <w:tc>
          <w:tcPr>
            <w:tcW w:type="dxa" w:w="6150"/>
            <w:shd w:fill="FFFFFF" w:color="auto" w:val="clear"/>
            <w:tcMar>
              <w:top w:type="dxa" w:w="70"/>
              <w:left w:type="dxa" w:w="100"/>
              <w:bottom w:type="dxa" w:w="70"/>
              <w:right w:type="dxa" w:w="100"/>
            </w:tcMar>
          </w:tcPr>
          <w:p>
            <w:r>
              <w:rPr>
                <w:sz w:val="20"/>
                <w:szCs w:val="20"/>
              </w:rPr>
              <w:t xml:space="preserve">Summarizing and visualizing trends, comparisons, and KPI cards on the dashboard</w:t>
            </w:r>
          </w:p>
        </w:tc>
      </w:tr>
      <w:tr>
        <w:tc>
          <w:tcPr>
            <w:tcW w:type="dxa" w:w="3200"/>
            <w:shd w:fill="F2F2F2" w:color="auto" w:val="clear"/>
            <w:tcMar>
              <w:top w:type="dxa" w:w="70"/>
              <w:left w:type="dxa" w:w="100"/>
              <w:bottom w:type="dxa" w:w="70"/>
              <w:right w:type="dxa" w:w="100"/>
            </w:tcMar>
          </w:tcPr>
          <w:p>
            <w:r>
              <w:rPr>
                <w:sz w:val="20"/>
                <w:szCs w:val="20"/>
              </w:rPr>
              <w:t xml:space="preserve">Conditional Formatting / Slicers</w:t>
            </w:r>
          </w:p>
        </w:tc>
        <w:tc>
          <w:tcPr>
            <w:tcW w:type="dxa" w:w="6150"/>
            <w:shd w:fill="F2F2F2" w:color="auto" w:val="clear"/>
            <w:tcMar>
              <w:top w:type="dxa" w:w="70"/>
              <w:left w:type="dxa" w:w="100"/>
              <w:bottom w:type="dxa" w:w="70"/>
              <w:right w:type="dxa" w:w="100"/>
            </w:tcMar>
          </w:tcPr>
          <w:p>
            <w:r>
              <w:rPr>
                <w:sz w:val="20"/>
                <w:szCs w:val="20"/>
              </w:rPr>
              <w:t xml:space="preserve">Highlighting outliers and enabling interactive filtering on the dashboard</w:t>
            </w:r>
          </w:p>
        </w:tc>
      </w:tr>
    </w:tbl>
    <w:p>
      <w:pPr>
        <w:pStyle w:val="Heading1"/>
        <w:pBdr>
          <w:bottom w:val="single" w:color="2E74B5" w:sz="6" w:space="4"/>
        </w:pBdr>
        <w:spacing w:after="160" w:before="360"/>
      </w:pPr>
      <w:r>
        <w:rPr>
          <w:b/>
          <w:bCs/>
          <w:color w:val="1F3864"/>
          <w:sz w:val="30"/>
          <w:szCs w:val="30"/>
        </w:rPr>
        <w:t xml:space="preserve">5. Data Cleaning</w:t>
      </w:r>
    </w:p>
    <w:p>
      <w:pPr>
        <w:spacing w:after="160" w:line="300"/>
      </w:pPr>
      <w:r>
        <w:rPr>
          <w:sz w:val="22"/>
          <w:szCs w:val="22"/>
        </w:rPr>
        <w:t xml:space="preserve">The entire cleaning process was carried out in Excel, using formulas, filters, and PivotTables to profile and fix the raw dataset:</w:t>
      </w:r>
    </w:p>
    <w:p>
      <w:pPr>
        <w:pStyle w:val="ListParagraph"/>
        <w:numPr>
          <w:ilvl w:val="0"/>
          <w:numId w:val="1"/>
        </w:numPr>
        <w:spacing w:after="80" w:line="280"/>
      </w:pPr>
      <w:r>
        <w:rPr>
          <w:sz w:val="22"/>
          <w:szCs w:val="22"/>
        </w:rPr>
        <w:t xml:space="preserve">Checked for duplicate records using conditional formatting/COUNTIF — none found (0 duplicate rows, 0 duplicate Order_IDs).</w:t>
      </w:r>
    </w:p>
    <w:p>
      <w:pPr>
        <w:pStyle w:val="ListParagraph"/>
        <w:numPr>
          <w:ilvl w:val="0"/>
          <w:numId w:val="1"/>
        </w:numPr>
        <w:spacing w:after="80" w:line="280"/>
      </w:pPr>
      <w:r>
        <w:rPr>
          <w:sz w:val="22"/>
          <w:szCs w:val="22"/>
        </w:rPr>
        <w:t xml:space="preserve">Used filters and COUNTBLANK to check for missing values — found 28 blank entries (~1.9%) in the City column; these were flagged and reviewed rather than dropped, since all other fields for those rows were complete.</w:t>
      </w:r>
    </w:p>
    <w:p>
      <w:pPr>
        <w:pStyle w:val="ListParagraph"/>
        <w:numPr>
          <w:ilvl w:val="0"/>
          <w:numId w:val="1"/>
        </w:numPr>
        <w:spacing w:after="80" w:line="280"/>
      </w:pPr>
      <w:r>
        <w:rPr>
          <w:sz w:val="22"/>
          <w:szCs w:val="22"/>
        </w:rPr>
        <w:t xml:space="preserve">Standardized the Order_Date column to a consistent date format for time-based analysis.</w:t>
      </w:r>
    </w:p>
    <w:p>
      <w:pPr>
        <w:pStyle w:val="ListParagraph"/>
        <w:numPr>
          <w:ilvl w:val="0"/>
          <w:numId w:val="1"/>
        </w:numPr>
        <w:spacing w:after="80" w:line="280"/>
      </w:pPr>
      <w:r>
        <w:rPr>
          <w:sz w:val="22"/>
          <w:szCs w:val="22"/>
        </w:rPr>
        <w:t xml:space="preserve">Verified numeric fields (Qty, Price, Discount, Subtotal, Tax, Total, Profit) for correct data types and no negative quantities.</w:t>
      </w:r>
    </w:p>
    <w:p>
      <w:pPr>
        <w:pStyle w:val="ListParagraph"/>
        <w:numPr>
          <w:ilvl w:val="0"/>
          <w:numId w:val="1"/>
        </w:numPr>
        <w:spacing w:after="80" w:line="280"/>
      </w:pPr>
      <w:r>
        <w:rPr>
          <w:sz w:val="22"/>
          <w:szCs w:val="22"/>
        </w:rPr>
        <w:t xml:space="preserve">Reviewed Profit for outliers using sorting/filtering — identified 59 orders (~3.9%) with negative profit, kept in the dataset as genuine loss-making orders relevant to the profitability analysis.</w:t>
      </w:r>
    </w:p>
    <w:p>
      <w:pPr>
        <w:pStyle w:val="ListParagraph"/>
        <w:numPr>
          <w:ilvl w:val="0"/>
          <w:numId w:val="1"/>
        </w:numPr>
        <w:spacing w:after="80" w:line="280"/>
      </w:pPr>
      <w:r>
        <w:rPr>
          <w:sz w:val="22"/>
          <w:szCs w:val="22"/>
        </w:rPr>
        <w:t xml:space="preserve">Confirmed category, payment method, customer type, and segment fields for consistent spelling/casing (using TRIM and data validation) before use in PivotTables and charts.</w:t>
      </w:r>
    </w:p>
    <w:p>
      <w:pPr>
        <w:pStyle w:val="Heading1"/>
        <w:pBdr>
          <w:bottom w:val="single" w:color="2E74B5" w:sz="6" w:space="4"/>
        </w:pBdr>
        <w:spacing w:after="160" w:before="360"/>
      </w:pPr>
      <w:r>
        <w:rPr>
          <w:b/>
          <w:bCs/>
          <w:color w:val="1F3864"/>
          <w:sz w:val="30"/>
          <w:szCs w:val="30"/>
        </w:rPr>
        <w:t xml:space="preserve">6. Dashboard Features</w:t>
      </w:r>
    </w:p>
    <w:p>
      <w:pPr>
        <w:spacing w:after="160" w:line="300"/>
      </w:pPr>
      <w:r>
        <w:rPr>
          <w:sz w:val="22"/>
          <w:szCs w:val="22"/>
        </w:rPr>
        <w:t xml:space="preserve">The dashboard was designed to give a quick, at-a-glance view of business performance:</w:t>
      </w:r>
    </w:p>
    <w:p>
      <w:pPr>
        <w:pStyle w:val="ListParagraph"/>
        <w:numPr>
          <w:ilvl w:val="0"/>
          <w:numId w:val="1"/>
        </w:numPr>
        <w:spacing w:after="80" w:line="280"/>
      </w:pPr>
      <w:r>
        <w:rPr>
          <w:sz w:val="22"/>
          <w:szCs w:val="22"/>
        </w:rPr>
        <w:t xml:space="preserve">KPI summary cards: Total Orders, Total Revenue, Total Profit, Average Order Value, Average Delivery Time.</w:t>
      </w:r>
    </w:p>
    <w:p>
      <w:pPr>
        <w:pStyle w:val="ListParagraph"/>
        <w:numPr>
          <w:ilvl w:val="0"/>
          <w:numId w:val="1"/>
        </w:numPr>
        <w:spacing w:after="80" w:line="280"/>
      </w:pPr>
      <w:r>
        <w:rPr>
          <w:sz w:val="22"/>
          <w:szCs w:val="22"/>
        </w:rPr>
        <w:t xml:space="preserve">Monthly sales &amp; profit trend chart (Jan–Mar 2025).</w:t>
      </w:r>
    </w:p>
    <w:p>
      <w:pPr>
        <w:pStyle w:val="ListParagraph"/>
        <w:numPr>
          <w:ilvl w:val="0"/>
          <w:numId w:val="1"/>
        </w:numPr>
        <w:spacing w:after="80" w:line="280"/>
      </w:pPr>
      <w:r>
        <w:rPr>
          <w:sz w:val="22"/>
          <w:szCs w:val="22"/>
        </w:rPr>
        <w:t xml:space="preserve">City-wise performance comparison (Mumbai, Delhi, Bangalore).</w:t>
      </w:r>
    </w:p>
    <w:p>
      <w:pPr>
        <w:pStyle w:val="ListParagraph"/>
        <w:numPr>
          <w:ilvl w:val="0"/>
          <w:numId w:val="1"/>
        </w:numPr>
        <w:spacing w:after="80" w:line="280"/>
      </w:pPr>
      <w:r>
        <w:rPr>
          <w:sz w:val="22"/>
          <w:szCs w:val="22"/>
        </w:rPr>
        <w:t xml:space="preserve">Category-wise revenue and profit breakdown.</w:t>
      </w:r>
    </w:p>
    <w:p>
      <w:pPr>
        <w:pStyle w:val="ListParagraph"/>
        <w:numPr>
          <w:ilvl w:val="0"/>
          <w:numId w:val="1"/>
        </w:numPr>
        <w:spacing w:after="80" w:line="280"/>
      </w:pPr>
      <w:r>
        <w:rPr>
          <w:sz w:val="22"/>
          <w:szCs w:val="22"/>
        </w:rPr>
        <w:t xml:space="preserve">Customer segment and customer type analysis (New vs Returning vs Bulk).</w:t>
      </w:r>
    </w:p>
    <w:p>
      <w:pPr>
        <w:pStyle w:val="ListParagraph"/>
        <w:numPr>
          <w:ilvl w:val="0"/>
          <w:numId w:val="1"/>
        </w:numPr>
        <w:spacing w:after="80" w:line="280"/>
      </w:pPr>
      <w:r>
        <w:rPr>
          <w:sz w:val="22"/>
          <w:szCs w:val="22"/>
        </w:rPr>
        <w:t xml:space="preserve">Payment method distribution.</w:t>
      </w:r>
    </w:p>
    <w:p>
      <w:pPr>
        <w:pStyle w:val="ListParagraph"/>
        <w:numPr>
          <w:ilvl w:val="0"/>
          <w:numId w:val="1"/>
        </w:numPr>
        <w:spacing w:after="80" w:line="280"/>
      </w:pPr>
      <w:r>
        <w:rPr>
          <w:sz w:val="22"/>
          <w:szCs w:val="22"/>
        </w:rPr>
        <w:t xml:space="preserve">Discount vs profit relationship view, to flag categories/orders where heavy discounting erodes margin.</w:t>
      </w:r>
    </w:p>
    <w:p>
      <w:pPr>
        <w:pStyle w:val="ListParagraph"/>
        <w:numPr>
          <w:ilvl w:val="0"/>
          <w:numId w:val="1"/>
        </w:numPr>
        <w:spacing w:after="80" w:line="280"/>
      </w:pPr>
      <w:r>
        <w:rPr>
          <w:sz w:val="22"/>
          <w:szCs w:val="22"/>
        </w:rPr>
        <w:t xml:space="preserve">Filters/slicers for month, city, category, and customer type for interactive exploration.</w:t>
      </w:r>
    </w:p>
    <w:p>
      <w:pPr>
        <w:pStyle w:val="Heading1"/>
        <w:pBdr>
          <w:bottom w:val="single" w:color="2E74B5" w:sz="6" w:space="4"/>
        </w:pBdr>
        <w:spacing w:after="160" w:before="360"/>
      </w:pPr>
      <w:r>
        <w:rPr>
          <w:b/>
          <w:bCs/>
          <w:color w:val="1F3864"/>
          <w:sz w:val="30"/>
          <w:szCs w:val="30"/>
        </w:rPr>
        <w:t xml:space="preserve">7. Key Message</w:t>
      </w:r>
    </w:p>
    <w:p>
      <w:pPr>
        <w:spacing w:after="160" w:line="300"/>
      </w:pPr>
      <w:r>
        <w:rPr>
          <w:sz w:val="22"/>
          <w:szCs w:val="22"/>
        </w:rPr>
        <w:t xml:space="preserve">Profitability in this dataset is not driven by order volume alone — discounting and delivery-fee/surge-fee structure meaningfully affect per-order margin. A visible share of orders (roughly 1 in 25) are loss-making, concentrated where discounts are high relative to subtotal. City, category, and payment-method mix all shift average profitability, making segment-level tracking more useful than a single blended margin figure.</w:t>
      </w:r>
    </w:p>
    <w:p>
      <w:pPr>
        <w:pStyle w:val="Heading1"/>
        <w:pBdr>
          <w:bottom w:val="single" w:color="2E74B5" w:sz="6" w:space="4"/>
        </w:pBdr>
        <w:spacing w:after="160" w:before="360"/>
      </w:pPr>
      <w:r>
        <w:rPr>
          <w:b/>
          <w:bCs/>
          <w:color w:val="1F3864"/>
          <w:sz w:val="30"/>
          <w:szCs w:val="30"/>
        </w:rPr>
        <w:t xml:space="preserve">8. Conclusion</w:t>
      </w:r>
    </w:p>
    <w:p>
      <w:pPr>
        <w:spacing w:after="160" w:line="300"/>
      </w:pPr>
      <w:r>
        <w:rPr>
          <w:sz w:val="22"/>
          <w:szCs w:val="22"/>
        </w:rPr>
        <w:t xml:space="preserve">The cleaned Zepto dataset and resulting dashboard make it possible to move from raw, order-level data to clear, decision-ready insights on sales and profitability. The analysis highlights where the business is performing well (top cities, categories, and customer segments) and where margin is being lost (over-discounted or high-fee orders), giving a foundation for targeted pricing, discounting, and operational decisions going forward.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2026-08-18T15:43:14.486Z</dcterms:created>
  <dcterms:modified xsi:type="dcterms:W3CDTF">2026-08-18T15:43:14.499Z</dcterms:modified>
</cp:coreProperties>
</file>

<file path=docProps/custom.xml><?xml version="1.0" encoding="utf-8"?>
<Properties xmlns="http://schemas.openxmlformats.org/officeDocument/2006/custom-properties" xmlns:vt="http://schemas.openxmlformats.org/officeDocument/2006/docPropsVTypes"/>
</file>