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International Debt Analysis</w:t>
      </w:r>
    </w:p>
    <w:p>
      <w:pPr>
        <w:jc w:val="center"/>
      </w:pPr>
      <w:r>
        <w:t>Python, SQL, and Streamlit analytics project</w:t>
      </w:r>
    </w:p>
    <w:p>
      <w:pPr>
        <w:pStyle w:val="Heading1"/>
      </w:pPr>
      <w:r>
        <w:t>Objective</w:t>
      </w:r>
    </w:p>
    <w:p>
      <w:r>
        <w:t>This project converts raw World Bank International Debt Statistics data into a clean analytics dataset, a normalized SQL model, a set of analytical SQL queries, and an interactive dashboard for country-wise and indicator-wise debt analysis.</w:t>
      </w:r>
    </w:p>
    <w:p>
      <w:pPr>
        <w:pStyle w:val="Heading1"/>
      </w:pPr>
      <w:r>
        <w:t>Dataset</w:t>
      </w:r>
    </w:p>
    <w:p>
      <w:r>
        <w:t>Source: World Bank International Debt Statistics (https://databank.worldbank.org/source/international-debt-statistics).</w:t>
      </w:r>
    </w:p>
    <w:p>
      <w:r>
        <w:t>The processed dataset covers 2010 to 2022 and keeps World-counterpart monetary debt indicators measured in current US dollars.</w:t>
      </w:r>
    </w:p>
    <w:p>
      <w:pPr>
        <w:pStyle w:val="Heading1"/>
      </w:pPr>
      <w:r>
        <w:t>Data Preparation</w:t>
      </w:r>
    </w:p>
    <w:p>
      <w:pPr>
        <w:pStyle w:val="ListBullet"/>
      </w:pPr>
      <w:r>
        <w:t>Loaded the raw CSV export using Python and Pandas.</w:t>
      </w:r>
    </w:p>
    <w:p>
      <w:pPr>
        <w:pStyle w:val="ListBullet"/>
      </w:pPr>
      <w:r>
        <w:t>Removed duplicate records and reshaped year columns into a long-format table.</w:t>
      </w:r>
    </w:p>
    <w:p>
      <w:pPr>
        <w:pStyle w:val="ListBullet"/>
      </w:pPr>
      <w:r>
        <w:t>Filtered relevant monetary debt indicators and retained non-null observations.</w:t>
      </w:r>
    </w:p>
    <w:p>
      <w:pPr>
        <w:pStyle w:val="ListBullet"/>
      </w:pPr>
      <w:r>
        <w:t>Joined country and indicator metadata to support richer analysis.</w:t>
      </w:r>
    </w:p>
    <w:p>
      <w:pPr>
        <w:pStyle w:val="ListBullet"/>
      </w:pPr>
      <w:r>
        <w:t>Created normalized country, indicator, and debt fact tables for MySQL.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Main reporting year</w:t>
            </w:r>
          </w:p>
        </w:tc>
        <w:tc>
          <w:tcPr>
            <w:tcW w:type="dxa" w:w="5112"/>
          </w:tcPr>
          <w:p>
            <w:r>
              <w:t>2022</w:t>
            </w:r>
          </w:p>
        </w:tc>
      </w:tr>
      <w:tr>
        <w:tc>
          <w:tcPr>
            <w:tcW w:type="dxa" w:w="5112"/>
          </w:tcPr>
          <w:p>
            <w:r>
              <w:t>Processed rows</w:t>
            </w:r>
          </w:p>
        </w:tc>
        <w:tc>
          <w:tcPr>
            <w:tcW w:type="dxa" w:w="5112"/>
          </w:tcPr>
          <w:p>
            <w:r>
              <w:t>238,079</w:t>
            </w:r>
          </w:p>
        </w:tc>
      </w:tr>
      <w:tr>
        <w:tc>
          <w:tcPr>
            <w:tcW w:type="dxa" w:w="5112"/>
          </w:tcPr>
          <w:p>
            <w:r>
              <w:t>Countries</w:t>
            </w:r>
          </w:p>
        </w:tc>
        <w:tc>
          <w:tcPr>
            <w:tcW w:type="dxa" w:w="5112"/>
          </w:tcPr>
          <w:p>
            <w:r>
              <w:t>120</w:t>
            </w:r>
          </w:p>
        </w:tc>
      </w:tr>
      <w:tr>
        <w:tc>
          <w:tcPr>
            <w:tcW w:type="dxa" w:w="5112"/>
          </w:tcPr>
          <w:p>
            <w:r>
              <w:t>Indicators</w:t>
            </w:r>
          </w:p>
        </w:tc>
        <w:tc>
          <w:tcPr>
            <w:tcW w:type="dxa" w:w="5112"/>
          </w:tcPr>
          <w:p>
            <w:r>
              <w:t>243</w:t>
            </w:r>
          </w:p>
        </w:tc>
      </w:tr>
      <w:tr>
        <w:tc>
          <w:tcPr>
            <w:tcW w:type="dxa" w:w="5112"/>
          </w:tcPr>
          <w:p>
            <w:r>
              <w:t>Total external debt</w:t>
            </w:r>
          </w:p>
        </w:tc>
        <w:tc>
          <w:tcPr>
            <w:tcW w:type="dxa" w:w="5112"/>
          </w:tcPr>
          <w:p>
            <w:r>
              <w:t>$8,682.57B</w:t>
            </w:r>
          </w:p>
        </w:tc>
      </w:tr>
      <w:tr>
        <w:tc>
          <w:tcPr>
            <w:tcW w:type="dxa" w:w="5112"/>
          </w:tcPr>
          <w:p>
            <w:r>
              <w:t>Highest-debt country</w:t>
            </w:r>
          </w:p>
        </w:tc>
        <w:tc>
          <w:tcPr>
            <w:tcW w:type="dxa" w:w="5112"/>
          </w:tcPr>
          <w:p>
            <w:r>
              <w:t>China</w:t>
            </w:r>
          </w:p>
        </w:tc>
      </w:tr>
      <w:tr>
        <w:tc>
          <w:tcPr>
            <w:tcW w:type="dxa" w:w="5112"/>
          </w:tcPr>
          <w:p>
            <w:r>
              <w:t>Lowest-debt country</w:t>
            </w:r>
          </w:p>
        </w:tc>
        <w:tc>
          <w:tcPr>
            <w:tcW w:type="dxa" w:w="5112"/>
          </w:tcPr>
          <w:p>
            <w:r>
              <w:t>Tonga</w:t>
            </w:r>
          </w:p>
        </w:tc>
      </w:tr>
    </w:tbl>
    <w:p>
      <w:pPr>
        <w:pStyle w:val="Heading1"/>
      </w:pPr>
      <w:r>
        <w:t>Top Countries by Total External Debt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Rank</w:t>
            </w:r>
          </w:p>
        </w:tc>
        <w:tc>
          <w:tcPr>
            <w:tcW w:type="dxa" w:w="2556"/>
          </w:tcPr>
          <w:p>
            <w:r>
              <w:t>Country</w:t>
            </w:r>
          </w:p>
        </w:tc>
        <w:tc>
          <w:tcPr>
            <w:tcW w:type="dxa" w:w="2556"/>
          </w:tcPr>
          <w:p>
            <w:r>
              <w:t>Region</w:t>
            </w:r>
          </w:p>
        </w:tc>
        <w:tc>
          <w:tcPr>
            <w:tcW w:type="dxa" w:w="2556"/>
          </w:tcPr>
          <w:p>
            <w:r>
              <w:t>Debt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China</w:t>
            </w:r>
          </w:p>
        </w:tc>
        <w:tc>
          <w:tcPr>
            <w:tcW w:type="dxa" w:w="2556"/>
          </w:tcPr>
          <w:p>
            <w:r>
              <w:t>East Asia &amp; Pacific</w:t>
            </w:r>
          </w:p>
        </w:tc>
        <w:tc>
          <w:tcPr>
            <w:tcW w:type="dxa" w:w="2556"/>
          </w:tcPr>
          <w:p>
            <w:r>
              <w:t>$2,530.50B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India</w:t>
            </w:r>
          </w:p>
        </w:tc>
        <w:tc>
          <w:tcPr>
            <w:tcW w:type="dxa" w:w="2556"/>
          </w:tcPr>
          <w:p>
            <w:r>
              <w:t>South Asia</w:t>
            </w:r>
          </w:p>
        </w:tc>
        <w:tc>
          <w:tcPr>
            <w:tcW w:type="dxa" w:w="2556"/>
          </w:tcPr>
          <w:p>
            <w:r>
              <w:t>$615.51B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Mexico</w:t>
            </w:r>
          </w:p>
        </w:tc>
        <w:tc>
          <w:tcPr>
            <w:tcW w:type="dxa" w:w="2556"/>
          </w:tcPr>
          <w:p>
            <w:r>
              <w:t>Latin America &amp; Caribbean</w:t>
            </w:r>
          </w:p>
        </w:tc>
        <w:tc>
          <w:tcPr>
            <w:tcW w:type="dxa" w:w="2556"/>
          </w:tcPr>
          <w:p>
            <w:r>
              <w:t>$585.86B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Brazil</w:t>
            </w:r>
          </w:p>
        </w:tc>
        <w:tc>
          <w:tcPr>
            <w:tcW w:type="dxa" w:w="2556"/>
          </w:tcPr>
          <w:p>
            <w:r>
              <w:t>Latin America &amp; Caribbean</w:t>
            </w:r>
          </w:p>
        </w:tc>
        <w:tc>
          <w:tcPr>
            <w:tcW w:type="dxa" w:w="2556"/>
          </w:tcPr>
          <w:p>
            <w:r>
              <w:t>$579.26B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Turkiye</w:t>
            </w:r>
          </w:p>
        </w:tc>
        <w:tc>
          <w:tcPr>
            <w:tcW w:type="dxa" w:w="2556"/>
          </w:tcPr>
          <w:p>
            <w:r>
              <w:t>Europe &amp; Central Asia</w:t>
            </w:r>
          </w:p>
        </w:tc>
        <w:tc>
          <w:tcPr>
            <w:tcW w:type="dxa" w:w="2556"/>
          </w:tcPr>
          <w:p>
            <w:r>
              <w:t>$455.96B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Indonesia</w:t>
            </w:r>
          </w:p>
        </w:tc>
        <w:tc>
          <w:tcPr>
            <w:tcW w:type="dxa" w:w="2556"/>
          </w:tcPr>
          <w:p>
            <w:r>
              <w:t>East Asia &amp; Pacific</w:t>
            </w:r>
          </w:p>
        </w:tc>
        <w:tc>
          <w:tcPr>
            <w:tcW w:type="dxa" w:w="2556"/>
          </w:tcPr>
          <w:p>
            <w:r>
              <w:t>$395.99B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Argentina</w:t>
            </w:r>
          </w:p>
        </w:tc>
        <w:tc>
          <w:tcPr>
            <w:tcW w:type="dxa" w:w="2556"/>
          </w:tcPr>
          <w:p>
            <w:r>
              <w:t>Latin America &amp; Caribbean</w:t>
            </w:r>
          </w:p>
        </w:tc>
        <w:tc>
          <w:tcPr>
            <w:tcW w:type="dxa" w:w="2556"/>
          </w:tcPr>
          <w:p>
            <w:r>
              <w:t>$248.98B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Thailand</w:t>
            </w:r>
          </w:p>
        </w:tc>
        <w:tc>
          <w:tcPr>
            <w:tcW w:type="dxa" w:w="2556"/>
          </w:tcPr>
          <w:p>
            <w:r>
              <w:t>East Asia &amp; Pacific</w:t>
            </w:r>
          </w:p>
        </w:tc>
        <w:tc>
          <w:tcPr>
            <w:tcW w:type="dxa" w:w="2556"/>
          </w:tcPr>
          <w:p>
            <w:r>
              <w:t>$201.05B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Colombia</w:t>
            </w:r>
          </w:p>
        </w:tc>
        <w:tc>
          <w:tcPr>
            <w:tcW w:type="dxa" w:w="2556"/>
          </w:tcPr>
          <w:p>
            <w:r>
              <w:t>Latin America &amp; Caribbean</w:t>
            </w:r>
          </w:p>
        </w:tc>
        <w:tc>
          <w:tcPr>
            <w:tcW w:type="dxa" w:w="2556"/>
          </w:tcPr>
          <w:p>
            <w:r>
              <w:t>$184.50B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South Africa</w:t>
            </w:r>
          </w:p>
        </w:tc>
        <w:tc>
          <w:tcPr>
            <w:tcW w:type="dxa" w:w="2556"/>
          </w:tcPr>
          <w:p>
            <w:r>
              <w:t>Sub-Saharan Africa</w:t>
            </w:r>
          </w:p>
        </w:tc>
        <w:tc>
          <w:tcPr>
            <w:tcW w:type="dxa" w:w="2556"/>
          </w:tcPr>
          <w:p>
            <w:r>
              <w:t>$171.73B</w:t>
            </w:r>
          </w:p>
        </w:tc>
      </w:tr>
    </w:tbl>
    <w:p>
      <w:pPr>
        <w:pStyle w:val="Heading1"/>
      </w:pPr>
      <w:r>
        <w:t>Regional Debt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Region</w:t>
            </w:r>
          </w:p>
        </w:tc>
        <w:tc>
          <w:tcPr>
            <w:tcW w:type="dxa" w:w="5112"/>
          </w:tcPr>
          <w:p>
            <w:r>
              <w:t>Debt</w:t>
            </w:r>
          </w:p>
        </w:tc>
      </w:tr>
      <w:tr>
        <w:tc>
          <w:tcPr>
            <w:tcW w:type="dxa" w:w="5112"/>
          </w:tcPr>
          <w:p>
            <w:r>
              <w:t>East Asia &amp; Pacific</w:t>
            </w:r>
          </w:p>
        </w:tc>
        <w:tc>
          <w:tcPr>
            <w:tcW w:type="dxa" w:w="5112"/>
          </w:tcPr>
          <w:p>
            <w:r>
              <w:t>$3,496.64B</w:t>
            </w:r>
          </w:p>
        </w:tc>
      </w:tr>
      <w:tr>
        <w:tc>
          <w:tcPr>
            <w:tcW w:type="dxa" w:w="5112"/>
          </w:tcPr>
          <w:p>
            <w:r>
              <w:t>Latin America &amp; Caribbean</w:t>
            </w:r>
          </w:p>
        </w:tc>
        <w:tc>
          <w:tcPr>
            <w:tcW w:type="dxa" w:w="5112"/>
          </w:tcPr>
          <w:p>
            <w:r>
              <w:t>$1,944.15B</w:t>
            </w:r>
          </w:p>
        </w:tc>
      </w:tr>
      <w:tr>
        <w:tc>
          <w:tcPr>
            <w:tcW w:type="dxa" w:w="5112"/>
          </w:tcPr>
          <w:p>
            <w:r>
              <w:t>Europe &amp; Central Asia</w:t>
            </w:r>
          </w:p>
        </w:tc>
        <w:tc>
          <w:tcPr>
            <w:tcW w:type="dxa" w:w="5112"/>
          </w:tcPr>
          <w:p>
            <w:r>
              <w:t>$1,040.77B</w:t>
            </w:r>
          </w:p>
        </w:tc>
      </w:tr>
      <w:tr>
        <w:tc>
          <w:tcPr>
            <w:tcW w:type="dxa" w:w="5112"/>
          </w:tcPr>
          <w:p>
            <w:r>
              <w:t>Sub-Saharan Africa</w:t>
            </w:r>
          </w:p>
        </w:tc>
        <w:tc>
          <w:tcPr>
            <w:tcW w:type="dxa" w:w="5112"/>
          </w:tcPr>
          <w:p>
            <w:r>
              <w:t>$850.41B</w:t>
            </w:r>
          </w:p>
        </w:tc>
      </w:tr>
      <w:tr>
        <w:tc>
          <w:tcPr>
            <w:tcW w:type="dxa" w:w="5112"/>
          </w:tcPr>
          <w:p>
            <w:r>
              <w:t>South Asia</w:t>
            </w:r>
          </w:p>
        </w:tc>
        <w:tc>
          <w:tcPr>
            <w:tcW w:type="dxa" w:w="5112"/>
          </w:tcPr>
          <w:p>
            <w:r>
              <w:t>$787.52B</w:t>
            </w:r>
          </w:p>
        </w:tc>
      </w:tr>
      <w:tr>
        <w:tc>
          <w:tcPr>
            <w:tcW w:type="dxa" w:w="5112"/>
          </w:tcPr>
          <w:p>
            <w:r>
              <w:t>Middle East &amp; North Africa</w:t>
            </w:r>
          </w:p>
        </w:tc>
        <w:tc>
          <w:tcPr>
            <w:tcW w:type="dxa" w:w="5112"/>
          </w:tcPr>
          <w:p>
            <w:r>
              <w:t>$563.08B</w:t>
            </w:r>
          </w:p>
        </w:tc>
      </w:tr>
    </w:tbl>
    <w:p>
      <w:pPr>
        <w:pStyle w:val="Heading1"/>
      </w:pPr>
      <w:r>
        <w:t>Top Debt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Indicator</w:t>
            </w:r>
          </w:p>
        </w:tc>
        <w:tc>
          <w:tcPr>
            <w:tcW w:type="dxa" w:w="3408"/>
          </w:tcPr>
          <w:p>
            <w:r>
              <w:t>Measure Type</w:t>
            </w:r>
          </w:p>
        </w:tc>
        <w:tc>
          <w:tcPr>
            <w:tcW w:type="dxa" w:w="3408"/>
          </w:tcPr>
          <w:p>
            <w:r>
              <w:t>Value</w:t>
            </w:r>
          </w:p>
        </w:tc>
      </w:tr>
      <w:tr>
        <w:tc>
          <w:tcPr>
            <w:tcW w:type="dxa" w:w="3408"/>
          </w:tcPr>
          <w:p>
            <w:r>
              <w:t>External debt stocks, total (DOD, current US$)</w:t>
            </w:r>
          </w:p>
        </w:tc>
        <w:tc>
          <w:tcPr>
            <w:tcW w:type="dxa" w:w="3408"/>
          </w:tcPr>
          <w:p>
            <w:r>
              <w:t>total_external_debt_stock</w:t>
            </w:r>
          </w:p>
        </w:tc>
        <w:tc>
          <w:tcPr>
            <w:tcW w:type="dxa" w:w="3408"/>
          </w:tcPr>
          <w:p>
            <w:r>
              <w:t>$8,682.57B</w:t>
            </w:r>
          </w:p>
        </w:tc>
      </w:tr>
      <w:tr>
        <w:tc>
          <w:tcPr>
            <w:tcW w:type="dxa" w:w="3408"/>
          </w:tcPr>
          <w:p>
            <w:r>
              <w:t>External debt stocks, long-term (DOD, current US$)</w:t>
            </w:r>
          </w:p>
        </w:tc>
        <w:tc>
          <w:tcPr>
            <w:tcW w:type="dxa" w:w="3408"/>
          </w:tcPr>
          <w:p>
            <w:r>
              <w:t>debt_stock</w:t>
            </w:r>
          </w:p>
        </w:tc>
        <w:tc>
          <w:tcPr>
            <w:tcW w:type="dxa" w:w="3408"/>
          </w:tcPr>
          <w:p>
            <w:r>
              <w:t>$6,043.85B</w:t>
            </w:r>
          </w:p>
        </w:tc>
      </w:tr>
      <w:tr>
        <w:tc>
          <w:tcPr>
            <w:tcW w:type="dxa" w:w="3408"/>
          </w:tcPr>
          <w:p>
            <w:r>
              <w:t>External debt stocks, variable rate (DOD, current US$)</w:t>
            </w:r>
          </w:p>
        </w:tc>
        <w:tc>
          <w:tcPr>
            <w:tcW w:type="dxa" w:w="3408"/>
          </w:tcPr>
          <w:p>
            <w:r>
              <w:t>debt_stock</w:t>
            </w:r>
          </w:p>
        </w:tc>
        <w:tc>
          <w:tcPr>
            <w:tcW w:type="dxa" w:w="3408"/>
          </w:tcPr>
          <w:p>
            <w:r>
              <w:t>$3,674.94B</w:t>
            </w:r>
          </w:p>
        </w:tc>
      </w:tr>
      <w:tr>
        <w:tc>
          <w:tcPr>
            <w:tcW w:type="dxa" w:w="3408"/>
          </w:tcPr>
          <w:p>
            <w:r>
              <w:t>External debt stocks, public and publicly guaranteed (PPG) (DOD, current US$)</w:t>
            </w:r>
          </w:p>
        </w:tc>
        <w:tc>
          <w:tcPr>
            <w:tcW w:type="dxa" w:w="3408"/>
          </w:tcPr>
          <w:p>
            <w:r>
              <w:t>debt_stock</w:t>
            </w:r>
          </w:p>
        </w:tc>
        <w:tc>
          <w:tcPr>
            <w:tcW w:type="dxa" w:w="3408"/>
          </w:tcPr>
          <w:p>
            <w:r>
              <w:t>$3,384.18B</w:t>
            </w:r>
          </w:p>
        </w:tc>
      </w:tr>
      <w:tr>
        <w:tc>
          <w:tcPr>
            <w:tcW w:type="dxa" w:w="3408"/>
          </w:tcPr>
          <w:p>
            <w:r>
              <w:t>External debt stocks, long-term public sector (DOD, current US$)</w:t>
            </w:r>
          </w:p>
        </w:tc>
        <w:tc>
          <w:tcPr>
            <w:tcW w:type="dxa" w:w="3408"/>
          </w:tcPr>
          <w:p>
            <w:r>
              <w:t>debt_stock</w:t>
            </w:r>
          </w:p>
        </w:tc>
        <w:tc>
          <w:tcPr>
            <w:tcW w:type="dxa" w:w="3408"/>
          </w:tcPr>
          <w:p>
            <w:r>
              <w:t>$3,365.91B</w:t>
            </w:r>
          </w:p>
        </w:tc>
      </w:tr>
      <w:tr>
        <w:tc>
          <w:tcPr>
            <w:tcW w:type="dxa" w:w="3408"/>
          </w:tcPr>
          <w:p>
            <w:r>
              <w:t>External debt stocks, public sector (PPG) (DOD, current US$)</w:t>
            </w:r>
          </w:p>
        </w:tc>
        <w:tc>
          <w:tcPr>
            <w:tcW w:type="dxa" w:w="3408"/>
          </w:tcPr>
          <w:p>
            <w:r>
              <w:t>debt_stock</w:t>
            </w:r>
          </w:p>
        </w:tc>
        <w:tc>
          <w:tcPr>
            <w:tcW w:type="dxa" w:w="3408"/>
          </w:tcPr>
          <w:p>
            <w:r>
              <w:t>$3,364.47B</w:t>
            </w:r>
          </w:p>
        </w:tc>
      </w:tr>
      <w:tr>
        <w:tc>
          <w:tcPr>
            <w:tcW w:type="dxa" w:w="3408"/>
          </w:tcPr>
          <w:p>
            <w:r>
              <w:t>External debt stocks, long-term private sector (DOD, current US$)</w:t>
            </w:r>
          </w:p>
        </w:tc>
        <w:tc>
          <w:tcPr>
            <w:tcW w:type="dxa" w:w="3408"/>
          </w:tcPr>
          <w:p>
            <w:r>
              <w:t>debt_stock</w:t>
            </w:r>
          </w:p>
        </w:tc>
        <w:tc>
          <w:tcPr>
            <w:tcW w:type="dxa" w:w="3408"/>
          </w:tcPr>
          <w:p>
            <w:r>
              <w:t>$2,677.93B</w:t>
            </w:r>
          </w:p>
        </w:tc>
      </w:tr>
      <w:tr>
        <w:tc>
          <w:tcPr>
            <w:tcW w:type="dxa" w:w="3408"/>
          </w:tcPr>
          <w:p>
            <w:r>
              <w:t>External debt stocks, private nonguaranteed (PNG) (DOD, current US$)</w:t>
            </w:r>
          </w:p>
        </w:tc>
        <w:tc>
          <w:tcPr>
            <w:tcW w:type="dxa" w:w="3408"/>
          </w:tcPr>
          <w:p>
            <w:r>
              <w:t>debt_stock</w:t>
            </w:r>
          </w:p>
        </w:tc>
        <w:tc>
          <w:tcPr>
            <w:tcW w:type="dxa" w:w="3408"/>
          </w:tcPr>
          <w:p>
            <w:r>
              <w:t>$2,659.67B</w:t>
            </w:r>
          </w:p>
        </w:tc>
      </w:tr>
      <w:tr>
        <w:tc>
          <w:tcPr>
            <w:tcW w:type="dxa" w:w="3408"/>
          </w:tcPr>
          <w:p>
            <w:r>
              <w:t>External debt stocks, general government sector (PPG) (DOD, current US$)</w:t>
            </w:r>
          </w:p>
        </w:tc>
        <w:tc>
          <w:tcPr>
            <w:tcW w:type="dxa" w:w="3408"/>
          </w:tcPr>
          <w:p>
            <w:r>
              <w:t>debt_stock</w:t>
            </w:r>
          </w:p>
        </w:tc>
        <w:tc>
          <w:tcPr>
            <w:tcW w:type="dxa" w:w="3408"/>
          </w:tcPr>
          <w:p>
            <w:r>
              <w:t>$2,522.16B</w:t>
            </w:r>
          </w:p>
        </w:tc>
      </w:tr>
      <w:tr>
        <w:tc>
          <w:tcPr>
            <w:tcW w:type="dxa" w:w="3408"/>
          </w:tcPr>
          <w:p>
            <w:r>
              <w:t>External debt stocks, short-term (DOD, current US$)</w:t>
            </w:r>
          </w:p>
        </w:tc>
        <w:tc>
          <w:tcPr>
            <w:tcW w:type="dxa" w:w="3408"/>
          </w:tcPr>
          <w:p>
            <w:r>
              <w:t>debt_stock</w:t>
            </w:r>
          </w:p>
        </w:tc>
        <w:tc>
          <w:tcPr>
            <w:tcW w:type="dxa" w:w="3408"/>
          </w:tcPr>
          <w:p>
            <w:r>
              <w:t>$2,257.87B</w:t>
            </w:r>
          </w:p>
        </w:tc>
      </w:tr>
    </w:tbl>
    <w:p>
      <w:pPr>
        <w:pStyle w:val="Heading1"/>
      </w:pPr>
      <w:r>
        <w:t>Insights</w:t>
      </w:r>
    </w:p>
    <w:p>
      <w:pPr>
        <w:pStyle w:val="ListBullet"/>
      </w:pPr>
      <w:r>
        <w:t>In 2022, total external debt across the analysed countries was $8,682.57B.</w:t>
      </w:r>
    </w:p>
    <w:p>
      <w:pPr>
        <w:pStyle w:val="ListBullet"/>
      </w:pPr>
      <w:r>
        <w:t>China had the highest total external debt at $2,530.50B.</w:t>
      </w:r>
    </w:p>
    <w:p>
      <w:pPr>
        <w:pStyle w:val="ListBullet"/>
      </w:pPr>
      <w:r>
        <w:t>The top 10 countries accounted for 68.75% of total external debt, showing a high concentration among a small group of borrowers.</w:t>
      </w:r>
    </w:p>
    <w:p>
      <w:pPr>
        <w:pStyle w:val="ListBullet"/>
      </w:pPr>
      <w:r>
        <w:t>East Asia &amp; Pacific was the largest regional contributor with $3,496.64B, or 40.27% of the analysed total.</w:t>
      </w:r>
    </w:p>
    <w:p>
      <w:pPr>
        <w:pStyle w:val="ListBullet"/>
      </w:pPr>
      <w:r>
        <w:t>From 2010 to 2022, total external debt changed by 126.22%, indicating the longer-term direction of global debt exposure.</w:t>
      </w:r>
    </w:p>
    <w:p>
      <w:pPr>
        <w:pStyle w:val="Heading1"/>
      </w:pPr>
      <w:r>
        <w:t>Deliverables</w:t>
      </w:r>
    </w:p>
    <w:p>
      <w:pPr>
        <w:pStyle w:val="ListBullet"/>
      </w:pPr>
      <w:r>
        <w:t>Cleaned CSV dataset and normalized CSV tables.</w:t>
      </w:r>
    </w:p>
    <w:p>
      <w:pPr>
        <w:pStyle w:val="ListBullet"/>
      </w:pPr>
      <w:r>
        <w:t>Complete MySQL schema with primary and foreign key relationships.</w:t>
      </w:r>
    </w:p>
    <w:p>
      <w:pPr>
        <w:pStyle w:val="ListBullet"/>
      </w:pPr>
      <w:r>
        <w:t>Thirty SQL analytical queries covering basic, intermediate, and advanced analysis.</w:t>
      </w:r>
    </w:p>
    <w:p>
      <w:pPr>
        <w:pStyle w:val="ListBullet"/>
      </w:pPr>
      <w:r>
        <w:t>Streamlit dashboard for interactive exploration.</w:t>
      </w:r>
    </w:p>
    <w:p>
      <w:pPr>
        <w:pStyle w:val="ListBullet"/>
      </w:pPr>
      <w:r>
        <w:t>Final documentation in DOCX and PDF formats.</w:t>
      </w:r>
    </w:p>
    <w:p>
      <w:pPr>
        <w:pStyle w:val="Heading1"/>
      </w:pPr>
      <w:r>
        <w:t>Limitations</w:t>
      </w:r>
    </w:p>
    <w:p>
      <w:r>
        <w:t>The analysis uses current-US-dollar debt indicators and does not adjust for inflation, exchange-rate effects, or country population size. Some indicators are related financial flows rather than debt stock, so total external debt uses the dedicated indicator DT.DOD.DECT.CD.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